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RefiRegV — Inkrafttreten</w:t>
      </w:r>
    </w:p>
    <w:p>
      <w:r>
        <w:rPr>
          <w:color w:val="555555"/>
          <w:sz w:val="18"/>
        </w:rPr>
        <w:t xml:space="preserve">Refinanzierungsregisterverordnung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11 RefiRegV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https://recht.nulegal.eu/gesetze/RefiRegV/11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