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§ 3 ReföDG — Inkrafttreten</w:t>
      </w:r>
    </w:p>
    <w:p>
      <w:r>
        <w:rPr>
          <w:color w:val="555555"/>
          <w:sz w:val="18"/>
        </w:rPr>
        <w:t xml:space="preserve">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Juli 1997 in Kraft.</w:t>
      </w:r>
    </w:p>
    <w:p>
      <w:r>
        <w:t xml:space="preserve">(2) Abweichend hiervon treten am 1. März 1997 Artikel 4 Nr. 6 Buchstabe a und Nr. 12, soweit § 69b Abs. 2 (Beamtenversorgungsgesetz) eingefügt wird, Artikel 5 Nr. 2 Buchstabe c, Nr. 7 Buchstabe a und Nr. 12, soweit § 95 Abs. 2 (Soldatenversorgungsgesetz) eingefügt wird, Artikel 9 Nr. 6 sowie Artikel 10 in Kraft.</w:t>
      </w:r>
    </w:p>
    <w:p>
      <w:r>
        <w:rPr>
          <w:color w:val="555555"/>
          <w:sz w:val="17"/>
        </w:rPr>
        <w:t xml:space="preserve">Zitiervorschlag: Art 15 § 3 ReföDG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https://recht.nulegal.eu/gesetze/Ref%C3%B6DG/15-3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