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§ 4 ReföDG — Übergangsvorschriften für Landesrecht</w:t>
      </w:r>
    </w:p>
    <w:p>
      <w:r>
        <w:rPr>
          <w:color w:val="555555"/>
          <w:sz w:val="18"/>
        </w:rPr>
        <w:t xml:space="preserve">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Bemißt sich die Höhe von Zulagen, Aufwandsentschädigungen und anderen Bezügen auf Grund von Landesrecht nach Grundgehältern der Bundesbesoldungsordnung, gelten bis zur Anpassung des Landesrechts an die Anlage 1 zu diesem Gesetz für die Höhe dieser Leistungen die im Zeitpunkt des Inkrafttretens dieses Gesetzes geltenden Grundgehaltssätze weiter.</w:t>
      </w:r>
    </w:p>
    <w:p>
      <w:r>
        <w:t xml:space="preserve">(2) Ist nach Landesrecht für Beamte, die auf Grund dienstlicher Verpflichtungen in Gemeinschaftsunterkunft wohnen, ein von § 39 Abs. 2 des Bundesbesoldungsgesetzes in der bis zum Inkrafttreten dieses Gesetzes geltenden Fassung abweichender Ortszuschlag festgelegt, tritt an die Stelle des Anrechnungsbetrages nach Anlage 2 dieses Gesetzes ein Betrag in Höhe des Differenzbetrages zwischen dem Ortszuschlag der Stufe 1 und dem nach Landesrecht maßgeblichen niedrigeren Ortszuschlag für Beamte in Gemeinschaftsunterkunft nach den im Zeitpunkt des Inkrafttretens des Gesetzes maßgebenden Sätzen.</w:t>
      </w:r>
    </w:p>
    <w:p>
      <w:r>
        <w:rPr>
          <w:color w:val="555555"/>
          <w:sz w:val="17"/>
        </w:rPr>
        <w:t xml:space="preserve">Zitiervorschlag: Art 14 § 4 ReföDG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https://recht.nulegal.eu/gesetze/Ref%C3%B6DG/14-4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