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 1 ReföDG — Überleitungszulage</w:t>
      </w:r>
    </w:p>
    <w:p>
      <w:r>
        <w:rPr>
          <w:color w:val="555555"/>
          <w:sz w:val="18"/>
        </w:rPr>
        <w:t xml:space="preserve">Reformgesetz</w:t>
      </w:r>
    </w:p>
    <w:p>
      <w:r>
        <w:rPr>
          <w:color w:val="555555"/>
          <w:sz w:val="18"/>
        </w:rPr>
        <w:t xml:space="preserve">Stand: 10.06.2019 (konsolidierte Textfassung, kein amtliches Inkrafttretensdatum)</w:t>
      </w:r>
    </w:p>
    <w:p>
      <w:r>
        <w:t xml:space="preserve">(1) Verringerungen des Grundgehaltes auf Grund dieses Gesetzes werden durch eine ruhegehaltfähige Überleitungszulage ausgeglichen. Sie wird in Höhe des Unterschiedsbetrages zwischen dem nach bisherigem Recht zustehenden Grundgehalt, Ortszuschlag der Stufe 1 und allgemeiner Stellenzulage und dem nach diesem Gesetz zustehenden Grundgehalt und allgemeiner Stellenzulage gewährt. Die Überleitungszulage verringert sich vom Tage nach Inkrafttreten dieses Gesetzes bei Erhöhungen des Grundgehaltes durch Aufsteigen in den Stufen sowie durch die Verleihung eines anderen Amtes mit höherem Endgrundgehalt (Grundgehalt) bis zur vollen Höhe der Bezügeverbesserung, bei allgemeinen Erhöhungen der Dienstbezüge zu einem Drittel des Erhöhungsbetrages. Satz 3 gilt nicht für Versorgungsempfänger; werden die Versorgungsbezüge allgemein erhöht, ist von demselben Zeitpunkt an auch die Überleitungszulage als Bestandteil des Ruhegehalts wie dieses anzupassen.</w:t>
      </w:r>
    </w:p>
    <w:p>
      <w:r>
        <w:t xml:space="preserve">(2) Soweit eine Überleitungszulage nach Maßgabe des § 2 der Zweiten Besoldungs-Übergangsverordnung gewährt wird, nimmt sie an Veränderungen der Bemessung teil.</w:t>
      </w:r>
    </w:p>
    <w:p>
      <w:r>
        <w:t xml:space="preserve">(3) Verringerungen der Bundesbankzulage auf Grund dieses Gesetzes werden durch eine nichtruhegehaltfähige Überleitungszulage ausgeglichen. Sie wird in Höhe des Unterschiedsbetrages zwischen dem nach bisherigem Recht und dem nach diesem Gesetz zustehenden Betrag gewährt. Auf die Überleitungszulage werden alle Erhöhungen der Bundesbankzulage angerechnet.</w:t>
      </w:r>
    </w:p>
    <w:p>
      <w:r>
        <w:rPr>
          <w:color w:val="555555"/>
          <w:sz w:val="17"/>
        </w:rPr>
        <w:t xml:space="preserve">Zitiervorschlag: Art 14 § 1 ReföDG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https://recht.nulegal.eu/gesetze/Ref%C3%B6DG/14-1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