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ReföDG — Aufhebung von Vorschriften</w:t>
      </w:r>
    </w:p>
    <w:p>
      <w:r>
        <w:rPr>
          <w:color w:val="555555"/>
          <w:sz w:val="18"/>
        </w:rPr>
        <w:t xml:space="preserve">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</w:t>
      </w:r>
    </w:p>
    <w:p>
      <w:r>
        <w:t xml:space="preserve">(2) Die §§ 22 und 26 Abs. 4 Nr. 4 des Bundesbesoldungsgesetzes in der bis zum 30. Juni 1997 geltenden Fassung sowie die in Absatz 1 Nr. 1 bis 3 genannten Verordnungen sind bis zum Inkrafttreten der auf Grund der §§ 22 und 26 Abs. 5 Nr. 3 des Bundesbesoldungsgesetzes zu erlassenden Rechtsverordnungen weiter anzuwenden.</w:t>
      </w:r>
    </w:p>
    <w:p>
      <w:r>
        <w:rPr>
          <w:color w:val="555555"/>
          <w:sz w:val="17"/>
        </w:rPr>
        <w:t xml:space="preserve">Zitiervorschlag: Art 13 ReföDG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https://recht.nulegal.eu/gesetze/Ref%C3%B6DG/13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