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RechtsfachwPrV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Rechtsfachwirt/Geprüfte Rechtsfachwirtin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nach § 3 Absatz 2 sind die Prüfungsleistungen einzeln zu bewerten.</w:t>
      </w:r>
    </w:p>
    <w:p>
      <w:r>
        <w:t xml:space="preserve">(3) Als mündliche Prüfung ist das praxisorientierte Situationsgespräch nach § 3 Absatz 3 zu bewerten.</w:t>
      </w:r>
    </w:p>
    <w:p>
      <w:r>
        <w:rPr>
          <w:color w:val="555555"/>
          <w:sz w:val="17"/>
        </w:rPr>
        <w:t xml:space="preserve">Zitiervorschlag: § 6 RechtsfachwPrV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https://recht.nulegal.eu/gesetze/RechtsfachwPrV/6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