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RechtsfachwPrV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10.01.2020 bis 03.09.2026. Dies ist nicht die aktuelle Fassung.</w:t>
      </w:r>
    </w:p>
    <w:p>
      <w:r>
        <w:t xml:space="preserve">(1) Die bei Inkrafttreten dieser Verordnung laufenden Prüfungsverfahren können nach den bisherigen Vorschriften zu Ende geführt werden.</w:t>
      </w:r>
    </w:p>
    <w:p>
      <w:r>
        <w:t xml:space="preserve">(2) Die zuständige Stelle kann auf Antrag des Prüfungsteilnehmers eine Wiederholungsprüfung gemäß dieser Verordnung durchführen; § 7 Abs. 2 findet insoweit keine Anwendung.</w:t>
      </w:r>
    </w:p>
    <w:p>
      <w:r>
        <w:rPr>
          <w:color w:val="555555"/>
          <w:sz w:val="17"/>
        </w:rPr>
        <w:t xml:space="preserve">Zitiervorschlag: § 10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