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RechtsfachwPrV — Ziel der Prüfung und Bezeichnung des Abschlusses</w:t>
      </w:r>
    </w:p>
    <w:p>
      <w:r>
        <w:rPr>
          <w:color w:val="555555"/>
          <w:sz w:val="18"/>
        </w:rPr>
        <w:t xml:space="preserve">Verordnung über die Prüfung zum anerkannten Abschluss Geprüfter Rechtsfachwirt/Geprüfte Rechtsfachwirtin</w:t>
      </w:r>
    </w:p>
    <w:p>
      <w:r>
        <w:rPr>
          <w:color w:val="555555"/>
          <w:sz w:val="18"/>
        </w:rPr>
        <w:t xml:space="preserve">Historische Fassung: Stand 10.01.2020 bis 03.09.2026. Dies ist nicht die aktuelle Fassung.</w:t>
      </w:r>
    </w:p>
    <w:p>
      <w:r>
        <w:t xml:space="preserve">(1) Zum Nachweis von Kenntnissen, Fertigkeiten und Erfahrungen, die durch die berufliche Fortbildung zum Geprüften Rechtsfachwirt/zur Geprüften Rechtsfachwirtin erworben wurden, kann die zuständige Stelle Prüfungen nach den §§ 2 bis 8 durchführen.</w:t>
      </w:r>
    </w:p>
    <w:p>
      <w:r>
        <w:t xml:space="preserve">(2) Durch die Prüfung ist festzustellen, ob die zu prüfende Person die notwendigen Qualifikationen besitzt, die sie zur Verwaltung, Organisation und Leitung der Kanzlei eines Rechtsanwaltsbüros befähigen. Dabei soll sie das nichtanwaltliche Aufgabenfeld eines Rechtsanwaltsbüros beherrschen und qualifizierte Sachbearbeitung im anwaltlichen Aufgabenfeld leisten können. Insbesondere kann sie folgende Aufgaben wahrnehmen:</w:t>
      </w:r>
    </w:p>
    <w:p>
      <w:pPr>
        <w:ind w:left="420"/>
      </w:pPr>
      <w:r>
        <w:t xml:space="preserve">1. Organisation des Büroablaufs, Überwachung der Kommunikationssysteme;</w:t>
      </w:r>
    </w:p>
    <w:p>
      <w:pPr>
        <w:ind w:left="420"/>
      </w:pPr>
      <w:r>
        <w:t xml:space="preserve">2. betriebswirtschaftliche Problemanalysen, Leitung des Rechnungswesens;</w:t>
      </w:r>
    </w:p>
    <w:p>
      <w:pPr>
        <w:ind w:left="420"/>
      </w:pPr>
      <w:r>
        <w:t xml:space="preserve">3. eigenverantwortlicher Personaleinsatz sowie Personalführung, Berufsausbildung, dienstleistungsorientierter Umgang mit Mandanten und Dritten;</w:t>
      </w:r>
    </w:p>
    <w:p>
      <w:pPr>
        <w:ind w:left="420"/>
      </w:pPr>
      <w:r>
        <w:t xml:space="preserve">4. Betreuung des gesamten Kostenwesens der Kanzlei, Vorbereitung von Rechtsmitteln und Rechtsbehelfen;</w:t>
      </w:r>
    </w:p>
    <w:p>
      <w:pPr>
        <w:ind w:left="420"/>
      </w:pPr>
      <w:r>
        <w:t xml:space="preserve">5. eigenverantwortliche Bearbeitung sämtlicher Vollstreckungsangelegenheiten unter Berücksichtigung des jeweiligen materiellen Rechts.</w:t>
      </w:r>
    </w:p>
    <w:p>
      <w:r>
        <w:t xml:space="preserve">(3) Die erfolgreich abgelegte Prüfung führt zum anerkannten Abschluss "Geprüfter Rechtsfachwirt/Geprüfte Rechtsfachwirtin".</w:t>
      </w:r>
    </w:p>
    <w:p>
      <w:r>
        <w:rPr>
          <w:color w:val="555555"/>
          <w:sz w:val="17"/>
        </w:rPr>
        <w:t xml:space="preserve">Zitiervorschlag: § 1 RechtsfachwPrV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https://recht.nulegal.eu/gesetze/RechtsfachwPrV/1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