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RechZahlV — Fristengliederung</w:t>
      </w:r>
    </w:p>
    <w:p>
      <w:r>
        <w:rPr>
          <w:color w:val="555555"/>
          <w:sz w:val="18"/>
        </w:rPr>
        <w:t xml:space="preserve">Zahlungsinstituts-Rechnungslegungsverordnung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Anhang sind die Beträge der „Forderungen an Kunden“ (Aktivposten 3) und der „Verbindlichkeiten gegenüber Kunden“ (Passivposten 2) gesondert nach folgenden Restlaufzeiten aufzugliedern:</w:t>
      </w:r>
    </w:p>
    <w:p>
      <w:pPr>
        <w:ind w:left="420"/>
      </w:pPr>
      <w:r>
        <w:t xml:space="preserve">1. bis drei Monate,</w:t>
      </w:r>
    </w:p>
    <w:p>
      <w:pPr>
        <w:ind w:left="420"/>
      </w:pPr>
      <w:r>
        <w:t xml:space="preserve">2. mehr als drei Monate bis sechs Monate,</w:t>
      </w:r>
    </w:p>
    <w:p>
      <w:pPr>
        <w:ind w:left="420"/>
      </w:pPr>
      <w:r>
        <w:t xml:space="preserve">3. mehr als sechs Monate bis zwölf Monate,</w:t>
      </w:r>
    </w:p>
    <w:p>
      <w:pPr>
        <w:ind w:left="420"/>
      </w:pPr>
      <w:r>
        <w:t xml:space="preserve">4. mehr als zwölf Monate.</w:t>
      </w:r>
    </w:p>
    <w:p>
      <w:r>
        <w:rPr>
          <w:color w:val="555555"/>
          <w:sz w:val="17"/>
        </w:rPr>
        <w:t xml:space="preserve">Zitiervorschlag: § 7 RechZahlV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https://recht.nulegal.eu/gesetze/RechZahlV/7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