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RechZahlV — Wertpapiere</w:t>
      </w:r>
    </w:p>
    <w:p>
      <w:r>
        <w:rPr>
          <w:color w:val="555555"/>
          <w:sz w:val="18"/>
        </w:rPr>
        <w:t xml:space="preserve">Zahlungsinstituts-Rechnungslegungsverordnung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Wertpapiere sind auszuweisen:</w:t>
      </w:r>
    </w:p>
    <w:p>
      <w:pPr>
        <w:ind w:left="420"/>
      </w:pPr>
      <w:r>
        <w:t xml:space="preserve">1. Aktien, Zwischenscheine, Anteile oder Aktien an Investmentvermögen, Optionsscheine, Zins- und Gewinnanteilscheine, börsenfähige Inhaber- und Ordergenussscheine, börsenfähige Inhaberschuldverschreibungen, auch wenn sie vinkuliert sind, unabhängig davon, ob sie in Wertpapierurkunden verbrieft oder als Wertrechte ausgestaltet sind,</w:t>
      </w:r>
    </w:p>
    <w:p>
      <w:pPr>
        <w:ind w:left="420"/>
      </w:pPr>
      <w:r>
        <w:t xml:space="preserve">2. börsenfähige Orderschuldverschreibungen, soweit sie Teile einer Gesamtemission sind,</w:t>
      </w:r>
    </w:p>
    <w:p>
      <w:pPr>
        <w:ind w:left="420"/>
      </w:pPr>
      <w:r>
        <w:t xml:space="preserve">3. andere festverzinsliche Inhaberpapiere, soweit sie börsenfähig sind, und</w:t>
      </w:r>
    </w:p>
    <w:p>
      <w:pPr>
        <w:ind w:left="420"/>
      </w:pPr>
      <w:r>
        <w:t xml:space="preserve">4. andere nicht festverzinsliche Wertpapiere, soweit sie börsennotiert sind, insbesondere ausländische Geldmarktpapiere, die zwar auf den Namen lauten, aber wie Inhaberpapiere gehandelt werden.</w:t>
      </w:r>
    </w:p>
    <w:p>
      <w:r>
        <w:t xml:space="preserve">(2) Als börsenfähig gelten Wertpapiere, die die Voraussetzungen einer Börsenzulassung erfüllen; bei Schuldverschreibungen genügt es, dass alle Stücke einer Emission hinsichtlich Verzinsung, Laufzeitbeginn und Fälligkeit einheitlich ausgestattet sind.</w:t>
      </w:r>
    </w:p>
    <w:p>
      <w:r>
        <w:t xml:space="preserve">(3) Als börsennotiert gelten Wertpapiere, die an einer deutschen Börse zum Handel im regulierten Markt zugelassen sind, außerdem Wertpapiere, die an ausländischen Börsen zugelassen sind oder gehandelt werden.</w:t>
      </w:r>
    </w:p>
    <w:p>
      <w:r>
        <w:rPr>
          <w:color w:val="555555"/>
          <w:sz w:val="17"/>
        </w:rPr>
        <w:t xml:space="preserve">Zitiervorschlag: § 5 RechZahlV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https://recht.nulegal.eu/gesetze/RechZahlV/5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