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RechZahlV — Nachrangige Vermögensgegenstände und Schulden</w:t>
      </w:r>
    </w:p>
    <w:p>
      <w:r>
        <w:rPr>
          <w:color w:val="555555"/>
          <w:sz w:val="18"/>
        </w:rPr>
        <w:t xml:space="preserve">Zahlungsinstituts-Rechnungslegungsverordnung</w:t>
      </w:r>
    </w:p>
    <w:p>
      <w:r>
        <w:rPr>
          <w:color w:val="555555"/>
          <w:sz w:val="18"/>
        </w:rPr>
        <w:t xml:space="preserve">Stand: 10.06.2019 (konsolidierte Textfassung, kein amtliches Inkrafttretensdatum)</w:t>
      </w:r>
    </w:p>
    <w:p>
      <w:r>
        <w:t xml:space="preserve">(1) Vermögensgegenstände und Schulden sind als nachrangig auszuweisen, wenn sie als Forderungen oder Verbindlichkeiten im Fall der Liquidation oder der Insolvenz erst nach den Forderungen der anderen Gläubiger erfüllt werden dürfen.</w:t>
      </w:r>
    </w:p>
    <w:p>
      <w:r>
        <w:t xml:space="preserve">(2) Nachrangige Vermögensgegenstände sind auf der Aktivseite bei dem jeweiligen Posten oder Unterposten gesondert auszuweisen. Die Angaben können statt in der Bilanz im Anhang in der Reihenfolge der betroffenen Posten gemacht werden.</w:t>
      </w:r>
    </w:p>
    <w:p>
      <w:r>
        <w:rPr>
          <w:color w:val="555555"/>
          <w:sz w:val="17"/>
        </w:rPr>
        <w:t xml:space="preserve">Zitiervorschlag: § 4 RechZahlV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https://recht.nulegal.eu/gesetze/RechZahlV/4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