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RechZahlV — Erstmalige Anwendung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ist erstmals auf den Jahresabschluss und den Lagebericht sowie den Konzernabschluss und den Konzernlagebericht für das nach dem 31. Oktober 2008 beginnende Geschäftsjahr anzuwenden.</w:t>
      </w:r>
    </w:p>
    <w:p>
      <w:r>
        <w:t xml:space="preserve">(2) Auf den Jahresabschluss und den Lagebericht sowie den Konzernabschluss und den Konzernlagebericht für ein vor dem 31. Dezember 2010 endendes Geschäftsjahr ist diese Verordnung nach Maßgabe der Absätze 3 und 4 anzuwenden, soweit das Unternehmen von dem Wahlrecht nach Artikel 66 Absatz 3 Satz 6 des Einführungsgesetzes zum Handelsgesetzbuch keinen Gebrauch gemacht hat.</w:t>
      </w:r>
    </w:p>
    <w:p>
      <w:r>
        <w:t xml:space="preserve">(3) Für das Formblatt 1 gelten folgende Veränderungen:</w:t>
      </w:r>
    </w:p>
    <w:p>
      <w:pPr>
        <w:ind w:left="420"/>
      </w:pPr>
      <w:r>
        <w:t xml:space="preserve">1. die folgenden Posten entfallen:</w:t>
      </w:r>
    </w:p>
    <w:p>
      <w:pPr>
        <w:ind w:left="780"/>
      </w:pPr>
      <w:r>
        <w:t xml:space="preserve">a) im Aktivposten 9 „Immaterielle Anlagewerte“</w:t>
      </w:r>
    </w:p>
    <w:p>
      <w:pPr>
        <w:ind w:left="1140"/>
      </w:pPr>
      <w:r>
        <w:t xml:space="preserve">aa) der Unterposten a) aa) bis dd),</w:t>
      </w:r>
    </w:p>
    <w:p>
      <w:pPr>
        <w:ind w:left="1140"/>
      </w:pPr>
      <w:r>
        <w:t xml:space="preserve">bb) der Unterposten b) aa) bis dd),</w:t>
      </w:r>
    </w:p>
    <w:p>
      <w:pPr>
        <w:ind w:left="780"/>
      </w:pPr>
      <w:r>
        <w:t xml:space="preserve">b) Aktivposten 15 „Aktiver Unterschiedsbetrag aus der Vermögensverrechnung“;</w:t>
      </w:r>
    </w:p>
    <w:p>
      <w:pPr>
        <w:ind w:left="420"/>
      </w:pPr>
      <w:r>
        <w:t xml:space="preserve">1a. die Bezeichnung des Passivpostens 11 a) lautet wie folgt: „gezeichnetes Kapital“;</w:t>
      </w:r>
    </w:p>
    <w:p>
      <w:pPr>
        <w:ind w:left="420"/>
      </w:pPr>
      <w:r>
        <w:t xml:space="preserve">2. die Bezeichnung des Passivpostens 11 c) bb) „Rücklage für Anteile an einem herrschenden oder mehrheitlich beteiligten Unternehmen“ wird durch die Bezeichnung „Rücklage für eigene Anteile“ ersetzt;</w:t>
      </w:r>
    </w:p>
    <w:p>
      <w:pPr>
        <w:ind w:left="420"/>
      </w:pPr>
      <w:r>
        <w:t xml:space="preserve">3. nach Passivposten 6 „Rückstellungen“ ist der Passivposten 6a „Sonderposten mit Rücklageanteil“ einzufügen.</w:t>
      </w:r>
    </w:p>
    <w:p>
      <w:r>
        <w:t xml:space="preserve">(4) Für das Formblatt 2 gelten folgende Veränderungen:</w:t>
      </w:r>
    </w:p>
    <w:p>
      <w:pPr>
        <w:ind w:left="420"/>
      </w:pPr>
      <w:r>
        <w:t xml:space="preserve">1. folgende Posten sind einzufügen:</w:t>
      </w:r>
    </w:p>
    <w:p>
      <w:pPr>
        <w:ind w:left="780"/>
      </w:pPr>
      <w:r>
        <w:t xml:space="preserve">a) nach dem Posten 7 „Sonstige betriebliche Erträge“ der Posten 7a „Erträge aus der Auflösung von Sonderposten mit Rücklageanteil“ und</w:t>
      </w:r>
    </w:p>
    <w:p>
      <w:pPr>
        <w:ind w:left="780"/>
      </w:pPr>
      <w:r>
        <w:t xml:space="preserve">b) nach dem Posten 15 „Aufwendungen aus Verlustübernahme“ der Posten 15a „Einstellungen in Sonderposten mit Rücklageanteil“;</w:t>
      </w:r>
    </w:p>
    <w:p>
      <w:pPr>
        <w:ind w:left="420"/>
      </w:pPr>
      <w:r>
        <w:t xml:space="preserve">2. die Bezeichnung des Postens 27 b „aus der Rücklage für Anteile an einem herrschenden oder mehrheitlich beteiligten Unternehmen“ wird durch die Bezeichnung „aus der Rücklage für eigene Anteile“ ersetzt;</w:t>
      </w:r>
    </w:p>
    <w:p>
      <w:pPr>
        <w:ind w:left="420"/>
      </w:pPr>
      <w:r>
        <w:t xml:space="preserve">3. die Bezeichnung des Postens 29 b „in die Rücklage für Anteile an einem herrschenden oder mehrheitlich beteiligten Unternehmen“ wird durch die Bezeichnung „in die Rücklage für eigene Anteile“ ersetzt.</w:t>
      </w:r>
    </w:p>
    <w:p>
      <w:r>
        <w:t xml:space="preserve">(5) Diese Verordnung in der Fassung des Artikels 9 des Gesetzes zur Umsetzung der Zweiten E-Geld-Richtlinie vom 1. März 2011 (BGBl. I S. 288) ist erstmals auf den Jahresabschluss und den Lagebericht sowie den Konzernabschluss und den Konzernlagebericht eines E-Geld-Instituts für das nach dem 30. April 2011 beginnende Geschäftsjahr anzuwenden.</w:t>
      </w:r>
    </w:p>
    <w:p>
      <w:r>
        <w:t xml:space="preserve">(6) Das Formblatt 1 in der Fassung des Artikels 2 der Verordnung zur Änderung von Rechnungslegungsverordnungen vom 9. Juni 2011 (BGBl. I S. 1041) ist erstmals auf Jahresabschlüsse für Geschäftsjahre anzuwenden, die nach dem 31. Dezember 2009, im Fall des Artikels 66 Absatz 3 Satz 6 des Einführungsgesetzes zum Handelsgesetzbuch nach dem 31. Dezember 2008 beginnen. Absatz 2 bleibt unberührt.</w:t>
      </w:r>
    </w:p>
    <w:p>
      <w:r>
        <w:t xml:space="preserve">(7) Die §§ 5 und 13 in der Fassung des AIFM-Umsetzungsgesetzes vom 4. Juli 2013 (BGBl. I S. 1981) sind erstmals auf Jahres- und Konzernabschlüsse für nach dem 21. Juli 2013 beginnende Geschäftsjahre anzuwenden.</w:t>
      </w:r>
    </w:p>
    <w:p>
      <w:r>
        <w:t xml:space="preserve">(8) § 28 Absatz 1 und 3 in der Fassung des Bilanzrichtlinie-Umsetzungsgesetzes vom 17. Juli 2015 (BGBl. I S. 1245) ist erstmals auf Jahres- und Konzernabschlüsse für nach dem 31. Dezember 2015 beginnende Geschäftsjahre anzuwenden.</w:t>
      </w:r>
    </w:p>
    <w:p>
      <w:r>
        <w:t xml:space="preserve">(9) Diese Verordnung in der Fassung des Artikels 1 der Verordnung zur Änderung der Zahlungsinstituts-Rechnungslegungsverordnung vom 17. Dezember 2018 (BGBl. I S. 2619) ist erstmals auf den Jahresabschluss und Konzernabschluss für das nach dem 31. Dezember 2017 beginnende Geschäftsjahr anzuwenden.</w:t>
      </w:r>
    </w:p>
    <w:p>
      <w:r>
        <w:rPr>
          <w:color w:val="555555"/>
          <w:sz w:val="17"/>
        </w:rPr>
        <w:t xml:space="preserve">Zitiervorschlag: § 33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