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RechZahlV — Ordnungswidrigkeiten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(1) Ordnungswidrig im Sinn des § 340n Absatz 1 Satz 1 Nummer 6 des Handelsgesetzbuchs handelt, wer als Geschäftsleiter im Sinn des § 1 Absatz 8 des Zahlungsdiensteaufsichtsgesetzes oder als Mitglied des Aufsichtsrats bei der Aufstellung oder Feststellung des Jahresabschlusses</w:t>
      </w:r>
    </w:p>
    <w:p>
      <w:pPr>
        <w:ind w:left="420"/>
      </w:pPr>
      <w:r>
        <w:t xml:space="preserve">1. entgegen § 2 in Verbindung mit §§ 9, 10 Satz 1, 2 oder Satz 4, §§ 11 bis 18, 19 Satz 1, §§ 20 bis 25, 26 Satz 1 oder Satz 3 oder § 27 Satz 1 oder Satz 3 ein dort genanntes Formblatt nicht, nicht richtig, nicht vollständig oder nicht in der vorgeschriebenen Weise verwendet,</w:t>
      </w:r>
    </w:p>
    <w:p>
      <w:pPr>
        <w:ind w:left="420"/>
      </w:pPr>
      <w:r>
        <w:t xml:space="preserve">2. entgegen § 4 Absatz 1 oder Absatz 2 Satz 1 nachrangige Vermögensgegenstände nicht, nicht richtig, nicht vollständig oder nicht in der vorgeschriebenen Weise ausweist,</w:t>
      </w:r>
    </w:p>
    <w:p>
      <w:pPr>
        <w:ind w:left="420"/>
      </w:pPr>
      <w:r>
        <w:t xml:space="preserve">3. entgegen § 7 einen dort genannten Betrag nicht, nicht richtig, nicht vollständig oder nicht in der vorgeschriebenen Weise aufgliedert oder</w:t>
      </w:r>
    </w:p>
    <w:p>
      <w:pPr>
        <w:ind w:left="420"/>
      </w:pPr>
      <w:r>
        <w:t xml:space="preserve">4. entgegen § 28 Absatz 1 Satz 1 in Verbindung mit § 28 Absatz 2 Satz 1 oder Absatz 3 Satz 1, § 29 oder § 30 eine dort genannte Angabe nicht, nicht richtig, nicht vollständig oder nicht in der vorgeschriebenen Weise in den Anhang aufnimmt.</w:t>
      </w:r>
    </w:p>
    <w:p>
      <w:r>
        <w:t xml:space="preserve">(2) Die Bestimmungen des Absatzes 1 gelten auch für den Konzernabschluss im Sinn des § 31.</w:t>
      </w:r>
    </w:p>
    <w:p>
      <w:r>
        <w:rPr>
          <w:color w:val="555555"/>
          <w:sz w:val="17"/>
        </w:rPr>
        <w:t xml:space="preserve">Zitiervorschlag: § 32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