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RechZahlV — Termingeschäfte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Anhang ist eine Aufstellung über die Arten von am Bilanzstichtag noch nicht abgewickelten fremdwährungs-, zinsabhängigen und sonstigen Termingeschäften, die lediglich ein Erfüllungsrisiko sowie Währungs-, Zins- und/oder sonstige Marktpreisänderungsrisiken aus offenen und im Fall eines Adressenausfalls auch aus geschlossenen Positionen enthalten, aufzunehmen. Hierzu gehören:</w:t>
      </w:r>
    </w:p>
    <w:p>
      <w:pPr>
        <w:ind w:left="420"/>
      </w:pPr>
      <w:r>
        <w:t xml:space="preserve">1. Termingeschäfte in fremden Währungen, insbesondere Devisentermingeschäfte, Devisenterminkontrakte, Währungsswaps, Zins-/Währungsswaps, Stillhalterverpflichtungen aus Devisenoptionsgeschäften, Devisenoptionsrechte, Termingeschäfte in Gold und anderen Edelmetallen, Edelmetallterminkontrakte, Stillhalterverpflichtungen aus Goldoptionen, Goldoptionsrechte;</w:t>
      </w:r>
    </w:p>
    <w:p>
      <w:pPr>
        <w:ind w:left="420"/>
      </w:pPr>
      <w:r>
        <w:t xml:space="preserve">2. zinsbezogene Termingeschäfte, insbesondere Termingeschäfte mit festverzinslichen Wertpapieren, Zinsterminkontrakte, Forward Rate Agreements, Stillhalterverpflichtungen aus Zinsoptionen, Zinsoptionsrechte, Zinsswaps, Abnahmeverpflichtungen aus Forward Forward Deposits; Lieferverpflichtungen aus solchen Geschäften sind in dem Unterposten der Bilanz „Unwiderrufliche Kreditzusagen“ (Passivposten 1 unter dem Strich) zu vermerken;</w:t>
      </w:r>
    </w:p>
    <w:p>
      <w:pPr>
        <w:ind w:left="420"/>
      </w:pPr>
      <w:r>
        <w:t xml:space="preserve">3. Termingeschäfte mit sonstigen Preisrisiken, insbesondere aktienkursbezogene Termingeschäfte, Stillhalterverpflichtungen aus Aktienoptionen, Aktienoptionsrechte, Indexterminkontrakte, Stillhalterverpflichtungen aus Indexoptionen, Indexoptionsrechte.</w:t>
      </w:r>
    </w:p>
    <w:p>
      <w:r>
        <w:t xml:space="preserve">Für jeden der drei Gliederungsposten der Termingeschäfte ist anzugeben, ob ein wesentlicher Teil davon zur Deckung von Zins-, Wechselkurs- oder Marktpreisschwankungen abgeschlossen wurde und ob ein wesentlicher Teil davon auf Handelsgeschäfte entfällt.</w:t>
      </w:r>
    </w:p>
    <w:p>
      <w:r>
        <w:rPr>
          <w:color w:val="555555"/>
          <w:sz w:val="17"/>
        </w:rPr>
        <w:t xml:space="preserve">Zitiervorschlag: § 30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