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RechZahlV — Allgemeine Verwaltungsaufwendungen – Posten 8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Posten 8 a) aa) bbb) sowie Posten 8 b) aa) bbb), jeweils „Soziale Abgaben und Aufwendungen für Altersversorgung und für Unterstützung“, sind auszuweisen:</w:t>
      </w:r>
    </w:p>
    <w:p>
      <w:pPr>
        <w:ind w:left="420"/>
      </w:pPr>
      <w:r>
        <w:t xml:space="preserve">1. gesetzliche Pflichtabgaben,</w:t>
      </w:r>
    </w:p>
    <w:p>
      <w:pPr>
        <w:ind w:left="420"/>
      </w:pPr>
      <w:r>
        <w:t xml:space="preserve">2. Beihilfen und Unterstützungen, die das Institut im Sinn des § 1 Absatz 3 des Zahlungsdiensteaufsichtsgesetzes zu erbringen hat, sowie</w:t>
      </w:r>
    </w:p>
    <w:p>
      <w:pPr>
        <w:ind w:left="420"/>
      </w:pPr>
      <w:r>
        <w:t xml:space="preserve">3. Aufwendungen für die Altersversorgung, darunter auch die Zuführungen zu den Pensionsrückstellungen.</w:t>
      </w:r>
    </w:p>
    <w:p>
      <w:r>
        <w:t xml:space="preserve">Der sonstige Personalaufwand (zum Beispiel freiwillige soziale Leistungen) ist dem Unterposten des Personalaufwands zuzurechnen, zu dem er seiner Art nach gehört.</w:t>
      </w:r>
    </w:p>
    <w:p>
      <w:r>
        <w:t xml:space="preserve">(2) In Posten 8 a) bb) sowie Posten 8 b) bb), jeweils „andere Verwaltungsaufwendungen“, sind die gesamten Aufwendungen sachlicher Art auszuweisen, insbesondere:</w:t>
      </w:r>
    </w:p>
    <w:p>
      <w:pPr>
        <w:ind w:left="420"/>
      </w:pPr>
      <w:r>
        <w:t xml:space="preserve">1. Raumkosten,</w:t>
      </w:r>
    </w:p>
    <w:p>
      <w:pPr>
        <w:ind w:left="420"/>
      </w:pPr>
      <w:r>
        <w:t xml:space="preserve">2. Bürobetriebskosten,</w:t>
      </w:r>
    </w:p>
    <w:p>
      <w:pPr>
        <w:ind w:left="420"/>
      </w:pPr>
      <w:r>
        <w:t xml:space="preserve">3. Kraftfahrzeugbetriebskosten,</w:t>
      </w:r>
    </w:p>
    <w:p>
      <w:pPr>
        <w:ind w:left="420"/>
      </w:pPr>
      <w:r>
        <w:t xml:space="preserve">4. Porto,</w:t>
      </w:r>
    </w:p>
    <w:p>
      <w:pPr>
        <w:ind w:left="420"/>
      </w:pPr>
      <w:r>
        <w:t xml:space="preserve">5. Verbandsbeiträge,</w:t>
      </w:r>
    </w:p>
    <w:p>
      <w:pPr>
        <w:ind w:left="420"/>
      </w:pPr>
      <w:r>
        <w:t xml:space="preserve">6. Werbungskosten,</w:t>
      </w:r>
    </w:p>
    <w:p>
      <w:pPr>
        <w:ind w:left="420"/>
      </w:pPr>
      <w:r>
        <w:t xml:space="preserve">7. Repräsentation,</w:t>
      </w:r>
    </w:p>
    <w:p>
      <w:pPr>
        <w:ind w:left="420"/>
      </w:pPr>
      <w:r>
        <w:t xml:space="preserve">8. Aufsichtsratsvergütungen,</w:t>
      </w:r>
    </w:p>
    <w:p>
      <w:pPr>
        <w:ind w:left="420"/>
      </w:pPr>
      <w:r>
        <w:t xml:space="preserve">9. Versicherungsprämien,</w:t>
      </w:r>
    </w:p>
    <w:p>
      <w:pPr>
        <w:ind w:left="420"/>
      </w:pPr>
      <w:r>
        <w:t xml:space="preserve">10. Rechts-, Prüfungs- und Beratungskosten,</w:t>
      </w:r>
    </w:p>
    <w:p>
      <w:pPr>
        <w:ind w:left="420"/>
      </w:pPr>
      <w:r>
        <w:t xml:space="preserve">11. Kosten des Geldverkehrs und</w:t>
      </w:r>
    </w:p>
    <w:p>
      <w:pPr>
        <w:ind w:left="420"/>
      </w:pPr>
      <w:r>
        <w:t xml:space="preserve">12. Kosten für Geldtransporte und dergleichen.</w:t>
      </w:r>
    </w:p>
    <w:p>
      <w:r>
        <w:t xml:space="preserve">(3) Prämien für Kreditversicherungen sind im Posten 11 „Abschreibungen und Wertberichtigungen auf Forderungen und bestimmte Wertpapiere sowie Zuführungen zu Rückstellungen im Kreditgeschäft“ zu erfassen.</w:t>
      </w:r>
    </w:p>
    <w:p>
      <w:r>
        <w:rPr>
          <w:color w:val="555555"/>
          <w:sz w:val="17"/>
        </w:rPr>
        <w:t xml:space="preserve">Zitiervorschlag: § 25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