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RechZahlV — Zinserträge – Posten 1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Zinserträge sind Zinserträge und ähnliche Erträge auszuweisen, insbesondere:</w:t>
      </w:r>
    </w:p>
    <w:p>
      <w:pPr>
        <w:ind w:left="420"/>
      </w:pPr>
      <w:r>
        <w:t xml:space="preserve">1. alle Erträge aus Vermögensgegenständen, die im Formblatt 1 Aktivposten 1 bis 5 bilanziert wurden, ohne Rücksicht darauf, in welcher Form sie berechnet werden,</w:t>
      </w:r>
    </w:p>
    <w:p>
      <w:pPr>
        <w:ind w:left="420"/>
      </w:pPr>
      <w:r>
        <w:t xml:space="preserve">2. Diskontabzüge, Ausschüttungen auf Genussrechte und Gewinnschuldverschreibungen im Bestand, Erträge mit Zinscharakter, die im Zusammenhang mit der zeitlichen Verteilung des Unterschiedsbetrags bei unter dem Rückzahlungsbetrag erworbenen Vermögensgegenständen entstehen,</w:t>
      </w:r>
    </w:p>
    <w:p>
      <w:pPr>
        <w:ind w:left="420"/>
      </w:pPr>
      <w:r>
        <w:t xml:space="preserve">3. Zuschreibungen aufgelaufener Zinsen zu Null-Kupon-Anleihen im Bestand,</w:t>
      </w:r>
    </w:p>
    <w:p>
      <w:pPr>
        <w:ind w:left="420"/>
      </w:pPr>
      <w:r>
        <w:t xml:space="preserve">4. die sich aus gedeckten Termingeschäften ergebenden, auf die tatsächliche Laufzeit des jeweiligen Geschäfts verteilten Erträge mit Zinscharakter sowie</w:t>
      </w:r>
    </w:p>
    <w:p>
      <w:pPr>
        <w:ind w:left="420"/>
      </w:pPr>
      <w:r>
        <w:t xml:space="preserve">5. Gebühren und Provisionen mit Zinscharakter, die nach dem Zeitablauf oder nach der Höhe der Forderungen berechnet werden.</w:t>
      </w:r>
    </w:p>
    <w:p>
      <w:r>
        <w:rPr>
          <w:color w:val="555555"/>
          <w:sz w:val="17"/>
        </w:rPr>
        <w:t xml:space="preserve">Zitiervorschlag: § 21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