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RechZahlV — Formblätter</w:t>
      </w:r>
    </w:p>
    <w:p>
      <w:r>
        <w:rPr>
          <w:color w:val="555555"/>
          <w:sz w:val="18"/>
        </w:rPr>
        <w:t xml:space="preserve">Zahlungsinstituts-Rechnungslegungsverordnung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Institute im Sinn des § 1 Absatz 3 des Zahlungsdiensteaufsichtsgesetzes haben abweichend von § 266 des Handelsgesetzbuchs über die Gliederung der Bilanz das Formblatt 1 (Anlage 1) und abweichend von § 275 des Handelsgesetzbuchs über die Gliederung der Gewinn- und Verlustrechnung das Formblatt 2 (Staffelform – Anlage 2) zu verwenden.</w:t>
      </w:r>
    </w:p>
    <w:p>
      <w:r>
        <w:rPr>
          <w:color w:val="555555"/>
          <w:sz w:val="17"/>
        </w:rPr>
        <w:t xml:space="preserve">Zitiervorschlag: § 2 RechZahlV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https://recht.nulegal.eu/gesetze/RechZahlV/2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