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19 RechZahlV — Eigenkapital – Posten 11</w:t>
      </w:r>
    </w:p>
    <w:p>
      <w:r>
        <w:rPr>
          <w:color w:val="555555"/>
          <w:sz w:val="18"/>
        </w:rPr>
        <w:t xml:space="preserve">Zahlungsinstituts-Rechnungslegungsverordnung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Als gezeichnetes Kapital sind, ungeachtet ihrer genauen Bezeichnung im Einzelfall, alle Beträge auszuweisen, die entsprechend der Rechtsform des Instituts im Sinn des § 1 Absatz 3 des Zahlungsdiensteaufsichtsgesetzes als von den Gesellschaftern oder anderen Eigentümern gezeichnete Eigenkapitalbeträge gelten; auch Einlagen stiller Gesellschafter sowie Geschäftsguthaben sind in diesen Posten einzubeziehen. Die genaue Bezeichnung im Einzelfall kann zusätzlich zu der Postenbezeichnung „gezeichnetes Kapital“ in das Bilanzformblatt eingetragen werden.</w:t>
      </w:r>
    </w:p>
    <w:p>
      <w:r>
        <w:rPr>
          <w:color w:val="555555"/>
          <w:sz w:val="17"/>
        </w:rPr>
        <w:t xml:space="preserve">Zitiervorschlag: § 19 RechZahlV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https://recht.nulegal.eu/gesetze/RechZahlV/19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