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RechZahlV — Schuldverschreibungen und andere festverzinsliche Wertpapiere – Posten 5</w:t>
      </w:r>
    </w:p>
    <w:p>
      <w:r>
        <w:rPr>
          <w:color w:val="555555"/>
          <w:sz w:val="18"/>
        </w:rPr>
        <w:t xml:space="preserve">Zahlungsinstituts-Rechnungslegungsverordnung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Schuldverschreibungen und andere festverzinsliche Wertpapiere sind die folgenden Rechte auszuweisen:</w:t>
      </w:r>
    </w:p>
    <w:p>
      <w:pPr>
        <w:ind w:left="420"/>
      </w:pPr>
      <w:r>
        <w:t xml:space="preserve">1. festverzinsliche Inhaberschuldverschreibungen,</w:t>
      </w:r>
    </w:p>
    <w:p>
      <w:pPr>
        <w:ind w:left="420"/>
      </w:pPr>
      <w:r>
        <w:t xml:space="preserve">2. Orderschuldverschreibungen, die Teile einer Gesamtemission sind,</w:t>
      </w:r>
    </w:p>
    <w:p>
      <w:pPr>
        <w:ind w:left="420"/>
      </w:pPr>
      <w:r>
        <w:t xml:space="preserve">3. Schatzwechsel,</w:t>
      </w:r>
    </w:p>
    <w:p>
      <w:pPr>
        <w:ind w:left="420"/>
      </w:pPr>
      <w:r>
        <w:t xml:space="preserve">4. Schatzanweisungen und andere verbriefte Rechte, wie zum Beispiel commercial papers, euro-notes, certificates of deposit, bons de caisse,</w:t>
      </w:r>
    </w:p>
    <w:p>
      <w:pPr>
        <w:ind w:left="420"/>
      </w:pPr>
      <w:r>
        <w:t xml:space="preserve">5. Kassenobligationen sowie Schuldbuchforderungen und</w:t>
      </w:r>
    </w:p>
    <w:p>
      <w:pPr>
        <w:ind w:left="420"/>
      </w:pPr>
      <w:r>
        <w:t xml:space="preserve">6. vor Fälligkeit hereingenommene Zinsscheine.</w:t>
      </w:r>
    </w:p>
    <w:p>
      <w:r>
        <w:t xml:space="preserve">Als Geldmarktpapiere gelten alle Schuldverschreibungen und andere festverzinsliche Wertpapiere unabhängig von ihrer Bezeichnung, sofern ihre ursprüngliche Laufzeit ein Jahr nicht überschreitet.</w:t>
      </w:r>
    </w:p>
    <w:p>
      <w:r>
        <w:t xml:space="preserve">(2) Als festverzinslich gelten auch:</w:t>
      </w:r>
    </w:p>
    <w:p>
      <w:pPr>
        <w:ind w:left="420"/>
      </w:pPr>
      <w:r>
        <w:t xml:space="preserve">1. Wertpapiere, die mit einem veränderlichen Zinssatz ausgestattet sind, sofern dieser an eine bestimmte Größe, zum Beispiel an einen Interbankzinssatz oder an einen Euro-Geldmarktsatz, gebunden ist,</w:t>
      </w:r>
    </w:p>
    <w:p>
      <w:pPr>
        <w:ind w:left="420"/>
      </w:pPr>
      <w:r>
        <w:t xml:space="preserve">2. Null-Kupon-Anleihen und</w:t>
      </w:r>
    </w:p>
    <w:p>
      <w:pPr>
        <w:ind w:left="420"/>
      </w:pPr>
      <w:r>
        <w:t xml:space="preserve">3. Schuldverschreibungen, die einen anteiligen Anspruch auf Erlöse aus einem gepoolten Forderungsvermögen verbriefen.</w:t>
      </w:r>
    </w:p>
    <w:p>
      <w:r>
        <w:rPr>
          <w:color w:val="555555"/>
          <w:sz w:val="17"/>
        </w:rPr>
        <w:t xml:space="preserve">Zitiervorschlag: § 12 RechZahlV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https://recht.nulegal.eu/gesetze/RechZahlV/12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