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11 RechZahlV — Forderungen an Kunden – Posten 3</w:t>
      </w:r>
    </w:p>
    <w:p>
      <w:r>
        <w:rPr>
          <w:color w:val="555555"/>
          <w:sz w:val="18"/>
        </w:rPr>
        <w:t xml:space="preserve">Zahlungsinstituts-Rechnungslegungsverordnung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Als Forderungen an Kunden sind alle Arten von Vermögensgegenständen auszuweisen, die Forderungen an in- und ausländische Nichtbanken darstellen, soweit es sich nicht um börsenfähige Schuldverschreibungen im Sinn des Postens 5 „Schuldverschreibungen und andere festverzinsliche Wertpapiere“ handelt. § 5 bleibt unberührt. Als Forderungen an Kunden aus Zahlungsdiensten und aus der Ausgabe von E-Geld aus Krediten sind die gemäß § 3 Absatz 4 des Zahlungsdiensteaufsichtsgesetzes gewährten Kredite auszuweisen.</w:t>
      </w:r>
    </w:p>
    <w:p>
      <w:r>
        <w:rPr>
          <w:color w:val="555555"/>
          <w:sz w:val="17"/>
        </w:rPr>
        <w:t xml:space="preserve">Zitiervorschlag: § 11 RechZahlV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https://recht.nulegal.eu/gesetze/RechZahlV/11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