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RechZahlV — Forderungen an Kreditinstitute – Posten 2</w:t>
      </w:r>
    </w:p>
    <w:p>
      <w:r>
        <w:rPr>
          <w:color w:val="555555"/>
          <w:sz w:val="18"/>
        </w:rPr>
        <w:t xml:space="preserve">Zahlungsinstituts-Rechnungslegungsverordnung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Forderungen an Kreditinstitute sind alle Arten von Forderungen an in- und ausländische Kreditinstitute auszuweisen. Zu den Forderungen an Kreditinstitute gehören auch:</w:t>
      </w:r>
    </w:p>
    <w:p>
      <w:pPr>
        <w:ind w:left="420"/>
      </w:pPr>
      <w:r>
        <w:t xml:space="preserve">1. Namensschuldverschreibungen sowie nicht börsenfähige Inhaberschuldverschreibungen, Orderschuldverschreibungen, die nicht Teile einer Gesamtemission sind,</w:t>
      </w:r>
    </w:p>
    <w:p>
      <w:pPr>
        <w:ind w:left="420"/>
      </w:pPr>
      <w:r>
        <w:t xml:space="preserve">2. nicht börsenfähige Orderschuldverschreibungen, die Teile einer Gesamtemission sind,</w:t>
      </w:r>
    </w:p>
    <w:p>
      <w:pPr>
        <w:ind w:left="420"/>
      </w:pPr>
      <w:r>
        <w:t xml:space="preserve">3. Namensgeldmarktpapiere und nicht börsenfähige Inhabergeldmarktpapiere,</w:t>
      </w:r>
    </w:p>
    <w:p>
      <w:pPr>
        <w:ind w:left="420"/>
      </w:pPr>
      <w:r>
        <w:t xml:space="preserve">4. Namensgenussscheine, nicht börsenfähige Inhabergenussscheine und andere nicht in Wertpapieren verbriefte rückzahlbare Genussrechte.</w:t>
      </w:r>
    </w:p>
    <w:p>
      <w:r>
        <w:t xml:space="preserve">§ 5 bleibt unberührt. Forderungen an Kreditinstitute aus Zahlungsdiensten und aus der Ausgabe von E-Geld, die der Anforderung des § 17 Absatz 1 Satz 2 Nummer 1 des Zahlungsdiensteaufsichtsgesetzes genügen und auf Treuhandkonten unterhalten werden, sind gesondert auszuweisen.</w:t>
      </w:r>
    </w:p>
    <w:p>
      <w:r>
        <w:rPr>
          <w:color w:val="555555"/>
          <w:sz w:val="17"/>
        </w:rPr>
        <w:t xml:space="preserve">Zitiervorschlag: § 10 RechZahlV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https://recht.nulegal.eu/gesetze/RechZahlV/10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