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RechVersV</w:t>
      </w:r>
    </w:p>
    <w:p>
      <w:r>
        <w:rPr>
          <w:color w:val="555555"/>
          <w:sz w:val="18"/>
        </w:rPr>
        <w:t xml:space="preserve">Versicherungsunternehmens-Rechnungslegungsverordnung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330 Abs. 1, 3 und 4 des Handelsgesetzbuchs in der im Bundesgesetzblatt Teil III, Gliederungsnummer 4100-1, veröffentlichten bereinigten Fassung, Absatz 1 zuletzt geändert und die Absätze 3 und 4 angefügt durch Artikel 1 Nr. 7 des Gesetzes vom 24. Juni 1994 (BGBl. I S. 1377), verordnet das Bundesministerium der Justiz im Einvernehmen mit dem Bundesministerium der Finanzen:</w:t>
      </w:r>
    </w:p>
    <w:p>
      <w:r>
        <w:rPr>
          <w:color w:val="555555"/>
          <w:sz w:val="17"/>
        </w:rPr>
        <w:t xml:space="preserve">Zitiervorschlag: Eingangsformel RechVersV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https://recht.nulegal.eu/gesetze/RechVersV/eingangsformel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