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RechVersV — (zu § 29) Vorschriften zur Bildung von Schwankungsrückstellungen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Fundstelle des Originaltextes: BGBl. I 1994, 3396 - 3398; bzgl. der einzelnen Änderungen vgl. Fußnote</w:t>
      </w:r>
    </w:p>
    <w:p>
      <w:r>
        <w:t xml:space="preserve">Abschnitt I Bildung, Höhe, Zuführungen, Entnahmen, Auflösung</w:t>
      </w:r>
    </w:p>
    <w:p>
      <w:pPr>
        <w:ind w:left="420"/>
      </w:pPr>
      <w:r>
        <w:t xml:space="preserve">1. In jedem Versicherungszweig des selbst abgeschlossenen und des in Rückdeckung übernommenen Schaden- und Unfall-Versicherungsgeschäfts (ohne das in Rückdeckung übernommene Lebens- und Kranken-Versicherungsgeschäft) ist eine Rückstellung zum Ausgleich der Schwankungen im Schadenverlauf künftiger Jahre (Schwankungsrückstellung) nach den Bestimmungen dieser Anlage zu bilden, wenn die verdienten Beiträge im Durchschnitt der letzten drei Geschäftsjahre einschließlich des Bilanzjahres 125.000 Euro übersteigen, die Standardabweichung der Schadenquoten des Beobachtungszeitraums von der durchschnittlichen Schadenquote mindestens 5 vom Hundert beträgt und die Summe aus Schaden- und Kostenquote mindestens einmal im Beobachtungszeitraum 100 vom Hundert der verdienten Beiträge eines Geschäftsjahres überschritten hat.</w:t>
      </w:r>
    </w:p>
    <w:p>
      <w:pPr>
        <w:ind w:left="420"/>
      </w:pPr>
      <w:r>
        <w:t xml:space="preserve">2. (1) Der Sollbetrag der Schwankungsrückstellung beträgt das Viereinhalbfache, in der Hagel-, Kredit- und Kautions- sowie Vertrauensschadenversicherung das Sechsfache der Standardabweichung der Schadenquoten des Beobachtungszeitraumes von der durchschnittlichen Schadenquote multipliziert mit den verdienten Beiträgen des Bilanzjahres.(2) Unterschreitet die durchschnittliche Schadenquote die Grenzschadenquote, ist die dreifache Differenz zwischen Grenzschadenquote und durchschnittlicher Schadenquote multipliziert mit den verdienten Beiträgen des Bilanzjahres von dem nach Absatz 1 ermittelten Betrag abzuziehen. Satz 1 gilt nicht in der Hagelversicherung.</w:t>
      </w:r>
    </w:p>
    <w:p>
      <w:pPr>
        <w:ind w:left="420"/>
      </w:pPr>
      <w:r>
        <w:t xml:space="preserve">3. Der Schwankungsrückstellung sind in jedem Bilanzjahr unabhängig vom Eintritt eines Über- oder Unterschadens zunächst 3,5 vom Hundert ihres jeweiligen Sollbetrages zuzuführen, bis dieser erreicht oder wieder erreicht ist.</w:t>
      </w:r>
    </w:p>
    <w:p>
      <w:pPr>
        <w:ind w:left="420"/>
      </w:pPr>
      <w:r>
        <w:t xml:space="preserve">4. Ist in einem Bilanzjahr ein Unterschaden eingetreten, so ist der nach Abschnitt II Nr. 7 Satz 2 zu berechnende Betrag zusätzlich der Schwankungsrückstellung zuzuführen, bis ihr Sollbetrag erreicht oder wieder erreicht ist.</w:t>
      </w:r>
    </w:p>
    <w:p>
      <w:pPr>
        <w:ind w:left="420"/>
      </w:pPr>
      <w:r>
        <w:t xml:space="preserve">5. Ist in einem Bilanzjahr ein Überschaden eingetreten, so ist der nach Abschnitt II Nr. 8 Satz 2 zu berechnende Betrag der Schwankungsrückstellung zu entnehmen. Unterschreitet die durchschnittliche Schadenquote die Grenzschadenquote, vermindert sich der zu entnehmende Betrag um 60 vom Hundert der mit den verdienten Beiträgen des Bilanzjahres multiplizierten Differenz aus Grenzschadenquote und durchschnittlicher Schadenquote.</w:t>
      </w:r>
    </w:p>
    <w:p>
      <w:pPr>
        <w:ind w:left="420"/>
      </w:pPr>
      <w:r>
        <w:t xml:space="preserve">6. Übersteigt die Schwankungsrückstellung nach der Entnahme eines Überschadens gemäß Nummer 5 den Sollbetrag, so ist sie um den den Sollbetrag übersteigenden Betrag aufzulösen.</w:t>
      </w:r>
    </w:p>
    <w:p>
      <w:pPr>
        <w:ind w:left="420"/>
      </w:pPr>
      <w:r>
        <w:t xml:space="preserve">7. (1) Sind die Voraussetzungen für die Bildung einer Schwankungsrückstellung gemäß Nummer 1 nicht mehr erfüllt, so ist die Schwankungsrückstellung aufzulösen. Die Auflösung kann auf das Bilanzjahr und die folgenden vier Geschäftsjahre gleichmäßig verteilt werden.(2) Die Auflösung gemäß Absatz 1 hat zu unterbleiben, wenn das Versicherungsunternehmen unter Einbeziehung des Jahresabschlusses des Bilanzjahres in den Beobachtungszeitraum verpflichtet ist, im folgenden Geschäftsjahr wieder eine Schwankungsrückstellung gemäß Nummer 1 zu bilden. Die Schwankungsrückstellung ist dann in der Höhe fortzuführen, in der sie unter Berücksichtigung des Jahresabschlusses des Bilanzjahres im folgenden Geschäftsjahr gemäß den Nummern 2 bis 6 zu stellen wäre. Als verdiente Beiträge, Schaden- und Kostenquote des folgenden Geschäftsjahres sind die entsprechenden Werte des Bilanzjahres zu verwenden.</w:t>
      </w:r>
    </w:p>
    <w:p>
      <w:r>
        <w:t xml:space="preserve">Abschnitt II Begriffsbestimmungen</w:t>
      </w:r>
    </w:p>
    <w:p>
      <w:pPr>
        <w:ind w:left="420"/>
      </w:pPr>
      <w:r>
        <w:t xml:space="preserve">1. (1) Ein Versicherungszweig nach den Bestimmungen dieser Anlage liegt vor, wenn nach § 4 Abs. 1 Satz 1 Nr. 1, § 5 Abs. 1, § 6 Satz 1 Nr. 3 der Versicherungsberichterstattungs-Verordnung in der jeweils geltenden Fassung zwingend eine gesonderte versicherungstechnische Gewinn- und Verlustrechnung aufzustellen und der Bundesanstalt für Finanzdienstleistungsaufsicht einzureichen ist.(2) In jedem Fall gelten als Versicherungszweig im Sinne der Bestimmungen dieser Anlage unbeschadet einer weitergehenden Untergliederung</w:t>
      </w:r>
    </w:p>
    <w:p>
      <w:pPr>
        <w:ind w:left="780"/>
      </w:pPr>
      <w:r>
        <w:t xml:space="preserve">1. die Feuer-Industrie-Versicherung einschließlich der Feuer-Betriebsunterbrechungs-Versicherung,</w:t>
      </w:r>
    </w:p>
    <w:p>
      <w:pPr>
        <w:ind w:left="780"/>
      </w:pPr>
      <w:r>
        <w:t xml:space="preserve">2. die Landwirtschaftliche Feuerversicherung,</w:t>
      </w:r>
    </w:p>
    <w:p>
      <w:pPr>
        <w:ind w:left="780"/>
      </w:pPr>
      <w:r>
        <w:t xml:space="preserve">3. die Kautionsversicherung,</w:t>
      </w:r>
    </w:p>
    <w:p>
      <w:pPr>
        <w:ind w:left="780"/>
      </w:pPr>
      <w:r>
        <w:t xml:space="preserve">4. die Delkredereversicherung,</w:t>
      </w:r>
    </w:p>
    <w:p>
      <w:pPr>
        <w:ind w:left="780"/>
      </w:pPr>
      <w:r>
        <w:t xml:space="preserve">5. die Vertrauensschadenversicherung,</w:t>
      </w:r>
    </w:p>
    <w:p>
      <w:pPr>
        <w:ind w:left="420"/>
      </w:pPr>
      <w:r>
        <w:t xml:space="preserve">die Kautions- und Delkredereversicherung jedoch nur, soweit der Versicherungsnehmer eine gewerbliche, bergbauliche oder freiberufliche Tätigkeit ausübt (Versicherungszweig 20 der Anlage 1 Abschnitt C der Versicherungsberichterstattungs-Verordnung).(3) Werden für weitere Versicherungszweige, -arten und -unterarten im Sinne der Versicherungsberichterstattungs-Verordnung für Zwecke der Schwankungsrückstellung freiwillig gesonderte versicherungstechnische Gewinn- und Verlustrechnungen aufgestellt, so gelten auch diese als Versicherungszweige im Sinne der Bestimmungen dieser Anlage. Hierbei ist Abschnitt III Nr. 2 zu beachten.(4) Als Versicherungszweig im Sinne der Bestimmungen dieser Anlage gelten nicht</w:t>
      </w:r>
    </w:p>
    <w:p>
      <w:pPr>
        <w:ind w:left="780"/>
      </w:pPr>
      <w:r>
        <w:t xml:space="preserve">1. die selbst abgeschlossene und die in Rückdeckung übernommene</w:t>
      </w:r>
    </w:p>
    <w:p>
      <w:pPr>
        <w:ind w:left="1140"/>
      </w:pPr>
      <w:r>
        <w:t xml:space="preserve">a) Feuerversicherung insgesamt,</w:t>
      </w:r>
    </w:p>
    <w:p>
      <w:pPr>
        <w:ind w:left="1140"/>
      </w:pPr>
      <w:r>
        <w:t xml:space="preserve">b) Kredit- und Kautionsversicherung insgesamt,</w:t>
      </w:r>
    </w:p>
    <w:p>
      <w:pPr>
        <w:ind w:left="1140"/>
      </w:pPr>
      <w:r>
        <w:t xml:space="preserve">c) sonstige Schadenversicherung einschließlich der mit dieser in einer gesonderten versicherungstechnischen Gewinn- und Verlustrechnung miterfaßten Versicherungszweige gemäß § 4 Abs. 2 Satz 2 Versicherungsberichterstattungs-Verordnung,</w:t>
      </w:r>
    </w:p>
    <w:p>
      <w:pPr>
        <w:ind w:left="1140"/>
      </w:pPr>
      <w:r>
        <w:t xml:space="preserve">d) Sonstige Sachversicherung,</w:t>
      </w:r>
    </w:p>
    <w:p>
      <w:pPr>
        <w:ind w:left="780"/>
      </w:pPr>
      <w:r>
        <w:t xml:space="preserve">2. die selbst abgeschlossene Kraftfahrtversicherung,</w:t>
      </w:r>
    </w:p>
    <w:p>
      <w:pPr>
        <w:ind w:left="780"/>
      </w:pPr>
      <w:r>
        <w:t xml:space="preserve">3. die selbst abgeschlossenen Versicherungen insgesamt,</w:t>
      </w:r>
    </w:p>
    <w:p>
      <w:pPr>
        <w:ind w:left="780"/>
      </w:pPr>
      <w:r>
        <w:t xml:space="preserve">4. die in Rückdeckung übernommenen Versicherungen insgesamt.</w:t>
      </w:r>
    </w:p>
    <w:p>
      <w:pPr>
        <w:ind w:left="420"/>
      </w:pPr>
      <w:r>
        <w:t xml:space="preserve">2. Die Standardabweichung der Schadenquoten des Beobachtungszeitraumes im Sinne der Bestimmungen dieser Anlage ist die Quadratwurzel aus dem Summenwert der quadrierten Abweichungen im Beobachtungszeitraum, der durch die um 1 verminderte Zahl der Geschäftsjahre des Beobachtungszeitraumes dividiert wurde. Abweichung ist die Differenz zwischen der Schadenquote eines Geschäftsjahres des Beobachtungszeitraumes und der durchschnittlichen Schadenquote des Beobachtungszeitraumes.</w:t>
      </w:r>
    </w:p>
    <w:p>
      <w:pPr>
        <w:ind w:left="420"/>
      </w:pPr>
      <w:r>
        <w:t xml:space="preserve">3. (1) Beobachtungszeitraum im Sinne der Bestimmungen dieser Anlage sind jeweils die fünfzehn, in der Hagel-, der Kredit- und Kautions- sowie der Vertrauensschadenversicherung die dreißig dem Bilanzjahr vorausgehenden Geschäftsjahre. Hierbei bleiben Geschäftsjahre mit verdienten Beiträgen von 125.000 Euro und weniger außer Betracht. Für diese Geschäftsjahre ist nach Abschnitt III Nr. 1 Abs. 1 Satz 1 und 2 zu verfahren. In der Kredit- und Kautions- sowie der Vertrauensschadenversicherung bleiben darüber hinaus Geschäftsjahre, die vor dem 1. Januar 1966 begonnen haben, für den Beobachtungszeitraum unberücksichtigt. Im Falle des Abschnittes I Nr. 7 Abs. 2 zählt das Bilanzjahr zum fünfzehn- oder dreißigjährigen Beobachtungszeitraum.(2) Betreibt ein Versicherungsunternehmen einen Versicherungszweig noch nicht während des gesamten Beobachtungszeitraumes im Sinne des Absatzes 1, mindestens aber zehn Geschäftsjahre vor dem Bilanzjahr, so gelten jeweils sämtliche Geschäftsjahre als Beobachtungszeitraum.</w:t>
      </w:r>
    </w:p>
    <w:p>
      <w:pPr>
        <w:ind w:left="420"/>
      </w:pPr>
      <w:r>
        <w:t xml:space="preserve">4. (1) Die Schadenquote eines Geschäfts- oder Bilanzjahres im Sinne der Bestimmungen dieser Anlage ist das Verhältnis der Aufwendungen für Versicherungsfälle einschließlich der Schadenregulierungsaufwendungen, der Aufwendungen für die erfolgsabhängige, soweit gesetzlich vorgeschrieben, und die erfolgsunabhängige Beitragsrückerstattung, der Aufwendungen für Rückkäufe und Rückgewährbeträge und der Veränderungen der Beitragsdeckungsrückstellung, abzüglich des technischen Zinsertrages, jeweils für eigene Rechnung, zu den verdienten Beiträgen des Geschäfts- oder Bilanzjahres.(2) Die durchschnittliche Schadenquote ist das arithmetische Mittel der Schadenquoten des Beobachtungszeitraumes.</w:t>
      </w:r>
    </w:p>
    <w:p>
      <w:pPr>
        <w:ind w:left="420"/>
      </w:pPr>
      <w:r>
        <w:t xml:space="preserve">5. Die Grenzschadenquote im Sinne der Bestimmungen dieser Anlage ergibt sich für das selbst abgeschlossene Geschäft aus der Differenz zwischen 95 vom Hundert, für das selbst abgeschlossene Rechtsschutzgeschäft 98 vom Hundert und für das in Rückdeckung übernommene Geschäft 99 vom Hundert und der mittleren Kostenquote.</w:t>
      </w:r>
    </w:p>
    <w:p>
      <w:pPr>
        <w:ind w:left="420"/>
      </w:pPr>
      <w:r>
        <w:t xml:space="preserve">6. (1) Kostenquote im Sinne der Bestimmungen dieser Anlage ist das Verhältnis der Aufwendungen für den Versicherungsbetrieb zuzüglich der Feuerschutzsteuer sowie sonstige, ihrem Verwendungszweck nach vergleichbare Aufwendungen für Schadenverhütung und -bekämpfung zu den verdienten Beiträgen, jeweils ohne Abzug des Anteils der Rückversicherer.(2) Die mittlere Kostenquote ist das arithmetische Mittel der Kostenquoten des Bilanzjahres und der zwei vorausgehenden Geschäftsjahre.</w:t>
      </w:r>
    </w:p>
    <w:p>
      <w:pPr>
        <w:ind w:left="420"/>
      </w:pPr>
      <w:r>
        <w:t xml:space="preserve">7. Ein Unterschaden liegt vor, wenn die Schadenquote des Bilanzjahres die durchschnittliche Schadenquote unterschreitet. Der Betrag des Unterschadens ergibt sich aus der Differenz dieser beiden Quoten multipliziert mit den verdienten Beiträgen des Bilanzjahres.</w:t>
      </w:r>
    </w:p>
    <w:p>
      <w:pPr>
        <w:ind w:left="420"/>
      </w:pPr>
      <w:r>
        <w:t xml:space="preserve">8. Ein Überschaden liegt vor, wenn die Schadenquote des Bilanzjahres die durchschnittliche Schadenquote übersteigt. Der Betrag des Überschadens ergibt sich aus der Differenz dieser beiden Quoten multipliziert mit den verdienten Beiträgen des Bilanzjahres.</w:t>
      </w:r>
    </w:p>
    <w:p>
      <w:pPr>
        <w:ind w:left="420"/>
      </w:pPr>
      <w:r>
        <w:t xml:space="preserve">9. (1) Verdiente Beiträge eines Geschäfts- oder Bilanzjahres im Sinne der Bestimmungen dieser Anlage sind die jeweiligen gebuchten Beiträge (einschließlich der Nebenleistungen der Versicherungsnehmer sowie im in Rückdeckung übernommenen Versicherungsgeschäft unter Einschluß der Portefeuille-Ein- und -Austrittsbeiträge) unter Berücksichtigung der Veränderung der Beitragsüberträge, jeweils für eigene Rechnung.(2) Bei Versicherungsvereinen auf Gegenseitigkeit, bei denen die Erhebung von Nachschüssen geschäftsplanmäßig nicht ausgeschlossen ist, gelten als verdiente Beiträge des Bilanzjahres die im Bilanzjahr im voraus erhobenen Beiträge zuzüglich 10 vom Hundert der Summe der in den zehn dem Bilanzjahr vorausgehenden Geschäftsjahren sich ergebenden Nachschußquoten multipliziert mit den im voraus erhobenen Beiträgen des Bilanzjahres.(3) Die Nachschußquote eines Geschäftsjahres ist das Verhältnis des im Geschäftsjahr erhobenen Nachschusses zu den im voraus erhobenen Beiträgen des Geschäftsjahres.</w:t>
      </w:r>
    </w:p>
    <w:p>
      <w:r>
        <w:t xml:space="preserve">Abschnitt III Neuaufnahme und Untergliederung von Versicherungszweigen</w:t>
      </w:r>
    </w:p>
    <w:p>
      <w:pPr>
        <w:ind w:left="420"/>
      </w:pPr>
      <w:r>
        <w:t xml:space="preserve">1. (1) Sind in einem Versicherungszweig im Sinne der Bestimmungen dieser Anlage, für den nach den Vorschriften der Versicherungsberichterstattungs-Verordnung oder des Abschnitts II Nr. 1 Abs. 2 erstmals eine gesonderte versicherungstechnische Gewinn- und Verlustrechnung aufzustellen ist, die für einen mindestens zehnjährigen Beobachtungszeitraum erforderlichen Schadenquoten aus den eigenen Geschäftsunterlagen ganz oder teilweise nicht zu ermitteln, so sind für die fehlenden Geschäftsjahre die Schadenquoten aus den in den Geschäftsberichten der Bundesanstalt für Finanzdienstleistungsaufsicht (BaFin) beziehungsweise des früheren Bundesaufsichtsamtes für das Versicherungswesen veröffentlichten Tabellen zu verwenden. Liegen derartige Quoten nicht vor, so sind mit Zustimmung der BaFin geeignete andere statistische Quellen heranzuziehen. Sobald ein mindestens zehnjähriger eigener Beobachtungszeitraum vorliegt, ist nach Abschnitt II Nr. 4 zu verfahren.(2) Sind bei Anwendung des Absatzes 1 die zur Berechnung der mittleren Kostenquote erforderlichen Kostenquoten früherer Geschäftsjahre aus den eigenen Geschäftsunterlagen nicht zu ermitteln, so gilt als mittlere Kostenquote die Kostenquote des jeweiligen Bilanzjahres. Sobald mindestens drei Geschäftsjahre einschließlich des Bilanzjahres vorliegen, ist nach Abschnitt II Nr. 6 Abs. 2 zu verfahren.</w:t>
      </w:r>
    </w:p>
    <w:p>
      <w:pPr>
        <w:ind w:left="420"/>
      </w:pPr>
      <w:r>
        <w:t xml:space="preserve">2. (1) Für Versicherungszweige, -arten und -unterarten gemäß Abschnitt II Nr. 1 Abs. 3 darf eine gesonderte Schwankungsrückstellung nur gebildet werden, wenn die nach den Bestimmungen dieser Anlage zur Bildung der Schwankungsrückstellung erforderlichen Berechnungen für einen mindestens zehnjährigen Beobachtungszeitraum aus den vorhandenen Geschäftsunterlagen vorgenommen werden können. Die Schwankungsrückstellung des Versicherungszweiges, zu dem die Versicherungsart und -unterart gemäß Satz 1 gehört, ist im Verhältnis der Sollbeträge der herausgenommenen Versicherungsart und -unterart zu denen des restlichen Versicherungszweiges aufzuteilen.(2) Bei Anwendung des Absatzes 1 ist die Untergliederung der Versicherungszweige für Zwecke der Schwankungsrückstellung beizubehalten. Eine weitere Untergliederung der neuen Versicherungszweige ist zulässig.</w:t>
      </w:r>
    </w:p>
    <w:p>
      <w:r>
        <w:t xml:space="preserve">Abschnitt IV Übergangsregelungen Abschnitt III Nr. 1 Abs. 1 und 2 gilt abweichend von Nr. 2 Abs. 1 auch für einen Versicherungszweig im Sinn der Versicherungsberichterstattungs-Verordnung vom 29. März 2006 (BGBl. I S. 622), für den freiwillig gesonderte versicherungstechnische Gewinn- und Verlustrechnungen für Zwecke der Schwankungsrückstellung nach Abschnitt II Nr. 1 Abs. 3 Satz 1 aufgestellt werden.</w:t>
      </w:r>
    </w:p>
    <w:p>
      <w:r>
        <w:rPr>
          <w:color w:val="555555"/>
          <w:sz w:val="17"/>
        </w:rPr>
        <w:t xml:space="preserve">Zitiervorschlag: Anlage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