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RechVersV — Inkrafttreten, Außerkrafttreten</w:t>
      </w:r>
    </w:p>
    <w:p>
      <w:r>
        <w:rPr>
          <w:color w:val="555555"/>
          <w:sz w:val="18"/>
        </w:rPr>
        <w:t xml:space="preserve">Versicherungsunternehmens-Rechnungslegungsverordnung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65 RechVersV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https://recht.nulegal.eu/gesetze/RechVersV/65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