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RechVersV — Befreiungen</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 341k in Verbindung mit den Vorschriften des Dritten Unterabschnitts des Zweiten Abschnitts des Dritten Buchs des Handelsgesetzbuchs über die Prüfung sowie die §§ 341i und 341j in Verbindung mit den Vorschriften des Zweiten Unterabschnitts des Zweiten Abschnitts des Dritten Buchs des Handelsgesetzbuchs über den Konzernabschluß sind auf die folgenden Versicherungsunternehmen nicht anzuwenden:</w:t>
      </w:r>
    </w:p>
    <w:p>
      <w:pPr>
        <w:ind w:left="420"/>
      </w:pPr>
      <w:r>
        <w:t xml:space="preserve">1. Versicherungsvereine auf Gegenseitigkeit, die weder die Haftpflichtversicherung noch die Kredit- und Kautionsversicherung betreiben und deren Satzung vorsieht, daß Nachschüsse vorbehalten sind oder Versicherungsansprüche gekürzt werden dürfen, wenn,</w:t>
      </w:r>
    </w:p>
    <w:p>
      <w:pPr>
        <w:ind w:left="780"/>
      </w:pPr>
      <w:r>
        <w:t xml:space="preserve">a) soweit es sich um Schaden-, Unfall- und Krankenversicherungsvereine handelt, die Bruttobeiträge aus dem Versicherungsgeschäft in den zwölf Monaten vor dem Abschlußstichtag mindestens zur Hälfte auf das Mitglieder-Versicherungsgeschäft entfallen und 1 Million Euro nicht überschreiten;</w:t>
      </w:r>
    </w:p>
    <w:p>
      <w:pPr>
        <w:ind w:left="780"/>
      </w:pPr>
      <w:r>
        <w:t xml:space="preserve">b) soweit es sich um Lebensversicherungsvereine handelt, die gebuchten Bruttobeiträge in drei aufeinanderfolgenden Geschäftsjahren jeweils nicht den Betrag von 500 000 Euro überschreiten; wird dieser Betrag in drei aufeinanderfolgenden Jahren überschritten, so werden die oben genannten Vorschriften des Handelsgesetzbuchs vom vierten Jahr an angewandt;</w:t>
      </w:r>
    </w:p>
    <w:p>
      <w:pPr>
        <w:ind w:left="420"/>
      </w:pPr>
      <w:r>
        <w:t xml:space="preserve">2. Versicherungsunternehmen, die ausschließlich touristische Beistandsleistungen erbringen, wenn deren Tätigkeit örtlich beschränkt ist und ausschließlich aus Naturalleistungen besteht und die jährlichen Bruttobeiträge nicht den Betrag von 200 000 Euro überschreiten;</w:t>
      </w:r>
    </w:p>
    <w:p>
      <w:pPr>
        <w:ind w:left="420"/>
      </w:pPr>
      <w:r>
        <w:t xml:space="preserve">3. Schaden- und Unfall- sowie Krankenversicherungsvereine, die mit einem anderen Versicherungsverein vereinbart haben, daß dieser alle Versicherungsverträge rückversichert oder die Erfüllung der Verbindlichkeiten aus den Versicherungsverträgen übernimmt;</w:t>
      </w:r>
    </w:p>
    <w:p>
      <w:pPr>
        <w:ind w:left="420"/>
      </w:pPr>
      <w:r>
        <w:t xml:space="preserve">4. Pensions- und Sterbekassen, deren Bruttobeiträge im vorausgegangenen Geschäftsjahr 7,5 Millionen Euro oder deren Bilanzsumme am Abschlußstichtag des vorausgegangenen Geschäftsjahres 125 Millionen Euro nicht überstiegen haben.</w:t>
      </w:r>
    </w:p>
    <w:p>
      <w:r>
        <w:t xml:space="preserve">Auf die in Satz 1 Nummer 1 bis 4 genannten Unternehmen ist darüber hinaus § 341l in Verbindung mit den Vorschriften des Vierten Unterabschnitts des Zweiten Abschnitts des Dritten Buchs des Handelsgesetzbuchs über die Offenlegung nicht anzuwenden, es sei denn, es handelt sich bei diesen Unternehmen um Pensionskassen.</w:t>
      </w:r>
    </w:p>
    <w:p>
      <w:r>
        <w:rPr>
          <w:color w:val="555555"/>
          <w:sz w:val="17"/>
        </w:rPr>
        <w:t xml:space="preserve">Zitiervorschlag: § 61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