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RechVersV — Konzernbilanz und Konzern-Gewinn- und Verlustrechnung</w:t>
      </w:r>
    </w:p>
    <w:p>
      <w:r>
        <w:rPr>
          <w:color w:val="555555"/>
          <w:sz w:val="18"/>
        </w:rPr>
        <w:t xml:space="preserve">Versicherungsunternehmens-Rechnungslegungsverordnung</w:t>
      </w:r>
    </w:p>
    <w:p>
      <w:r>
        <w:rPr>
          <w:color w:val="555555"/>
          <w:sz w:val="18"/>
        </w:rPr>
        <w:t xml:space="preserve">Stand: 10.06.2019 (konsolidierte Textfassung, kein amtliches Inkrafttretensdatum)</w:t>
      </w:r>
    </w:p>
    <w:p>
      <w:r>
        <w:t xml:space="preserve">(1) Für die Aufstellung der Konzernbilanz ist das Formblatt 1 und für die Aufstellung der Konzern-Gewinn- und Verlustrechnung das Formblatt 4 anzuwenden. Dies gilt nicht, soweit in den Fußnoten zu den Formblättern etwas anderes vorgeschrieben ist oder die Besonderheiten des Konzerns Abweichungen vom Formblatt 4 bedingen. Ferner gelten die Fußnoten 2 und 3 Buchstabe a und b zum Formblatt 2 sowie die Fußnoten 2, 3 und 4 Buchstabe a zum Formblatt 3 entsprechend.</w:t>
      </w:r>
    </w:p>
    <w:p>
      <w:r>
        <w:t xml:space="preserve">(2) Sofern in den Konzernabschluß ein Krankenversicherungsunternehmen einbezogen ist, sind im Formblatt 4 für die Konzern-Gewinn- und Verlustrechnung die Überschrift zu Teil II und die Posten Nr. II 13 und III 1 Buchstabe b wie folgt zu bezeichnen:</w:t>
      </w:r>
    </w:p>
    <w:p>
      <w:pPr>
        <w:ind w:left="420"/>
      </w:pPr>
      <w:r>
        <w:t xml:space="preserve">1. Überschrift zu Teil II:"Versicherungstechnische Rechnung für das Lebens- und Krankenversicherungsgeschäft";</w:t>
      </w:r>
    </w:p>
    <w:p>
      <w:pPr>
        <w:ind w:left="420"/>
      </w:pPr>
      <w:r>
        <w:t xml:space="preserve">2. Posten Nr. II 13:"Versicherungstechnisches Ergebnis für eigene Rechnung im Lebens- und Krankenversicherungsgeschäft";</w:t>
      </w:r>
    </w:p>
    <w:p>
      <w:pPr>
        <w:ind w:left="420"/>
      </w:pPr>
      <w:r>
        <w:t xml:space="preserve">3. Posten Nr. III 1 Buchstabe b:"im Lebens- und Krankenversicherungsgeschäft".</w:t>
      </w:r>
    </w:p>
    <w:p>
      <w:r>
        <w:t xml:space="preserve">(3) In der Konzern-Gewinn- und Verlustrechnung dürfen die gesamten Erträge aus den Kapitalanlagen sowie die Aufwendungen für Kapitalanlagen in der nichtversicherungstechnischen Rechnung ausgewiesen werden. Der Saldo aus den Erträgen aus den Kapitalanlagen und den Aufwendungen für Kapitalanlagen ist, soweit er aus den in den Konzernabschluß einbezogenen Lebens- und Krankenversicherungsunternehmen herrührt, in diesen Fällen der versicherungstechnischen Rechnung für das Lebens- und Krankenversicherungsgeschäft zuzuordnen. Für das Formblatt 4 ergeben sich damit folgende Änderungen:</w:t>
      </w:r>
    </w:p>
    <w:p>
      <w:pPr>
        <w:ind w:left="420"/>
      </w:pPr>
      <w:r>
        <w:t xml:space="preserve">1. An die Stelle des Postens Nr. II 3 "Erträge aus Kapitalanlagen" tritt in der versicherungstechnischen Rechnung für das Lebens- und Krankenversicherungsgeschäft der Posten Nr. II 3 "Zugeordneter Zins aus der nichtversicherungstechnischen Rechnung".</w:t>
      </w:r>
    </w:p>
    <w:p>
      <w:pPr>
        <w:ind w:left="420"/>
      </w:pPr>
      <w:r>
        <w:t xml:space="preserve">2. Der Posten Nr. II 10 "Aufwendungen für Kapitalanlagen" in der versicherungstechnischen Rechnung für das Lebens- und Krankenversicherungsgeschäft entfällt. Die bisherigen Posten-Nummern II 11 bis II 13 werden Posten-Nummern II 10 bis II 12.</w:t>
      </w:r>
    </w:p>
    <w:p>
      <w:r>
        <w:t xml:space="preserve">(4) Auf die Konzernbilanz und die Konzern-Gewinn- und Verlustrechnung sind im übrigen, soweit diese wegen ihrer Eigenart keine Abweichungen bedingen,</w:t>
      </w:r>
    </w:p>
    <w:p>
      <w:pPr>
        <w:ind w:left="420"/>
      </w:pPr>
      <w:r>
        <w:t xml:space="preserve">1. § 3 sowie</w:t>
      </w:r>
    </w:p>
    <w:p>
      <w:pPr>
        <w:ind w:left="420"/>
      </w:pPr>
      <w:r>
        <w:t xml:space="preserve">2. die §§ 4 bis 20, 22 bis 34, 36 bis 50</w:t>
      </w:r>
    </w:p>
    <w:p>
      <w:r>
        <w:t xml:space="preserve">entsprechend anzuwenden.</w:t>
      </w:r>
    </w:p>
    <w:p>
      <w:r>
        <w:rPr>
          <w:color w:val="555555"/>
          <w:sz w:val="17"/>
        </w:rPr>
        <w:t xml:space="preserve">Zitiervorschlag: § 58 RechVersV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https://recht.nulegal.eu/gesetze/RechVersV/58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