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RechVersV — Zeitwert der übrigen Kapitalanlagen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Bei den übrigen Kapitalanlagen ist der Zeitwert vorbehaltlich Absatz 5 der Freiverkehrswert.</w:t>
      </w:r>
    </w:p>
    <w:p>
      <w:r>
        <w:t xml:space="preserve">(2) Bei an einer zugelassenen Börse notierten Kapitalanlagen handelt es sich bei dem Freiverkehrswert um den Börsenkurswert am Abschlußstichtag oder, wenn der Abschlußstichtag kein Börsentag ist, um den Börsenkurswert am letzten diesem Zeitpunkt vorausgehenden Börsentag.</w:t>
      </w:r>
    </w:p>
    <w:p>
      <w:r>
        <w:t xml:space="preserve">(3) Bei nicht unter Absatz 2 fallenden anderen Kapitalanlagen gilt, sofern für diese ein Markt vorhanden ist, als Freiverkehrswert der Durchschnittswert, zu dem sie zum Abschlußstichtag oder, wenn der Abschlußstichtag kein Markttag ist, am letzten diesem Zeitpunkt vorausgehenden Markttag gehandelt wurden.</w:t>
      </w:r>
    </w:p>
    <w:p>
      <w:r>
        <w:t xml:space="preserve">(4) Sind zum Zeitpunkt der Bilanzaufstellung Kapitalanlagen, die in Absatz 2 oder 3 genannt werden, veräußert worden oder besteht die Absicht, sie in nächster Zeit zu veräußern, so ist der Freiverkehrswert um die angefallenen oder geschätzten Realisierungsaufwendungen zu vermindern.</w:t>
      </w:r>
    </w:p>
    <w:p>
      <w:r>
        <w:t xml:space="preserve">(5) Kapitalanlagen sind höchstens mit ihrem voraussichtlich realisierbaren Wert unter Berücksichtigung des Grundsatzes der Vorsicht zu bewerten.</w:t>
      </w:r>
    </w:p>
    <w:p>
      <w:r>
        <w:t xml:space="preserve">(6) Zusätzlich sind die jeweils angewandte Bewertungsmethode sowie der Grund für ihre Anwendung anzugeben.</w:t>
      </w:r>
    </w:p>
    <w:p>
      <w:r>
        <w:rPr>
          <w:color w:val="555555"/>
          <w:sz w:val="17"/>
        </w:rPr>
        <w:t xml:space="preserve">Zitiervorschlag: § 56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