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RechVersV — Sonstige Aufwendungen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Posten "Sonstige Aufwendungen" sind die nichtversicherungstechnischen Aufwendungen auszuweisen, die einem anderen Posten nicht zugeordnet werden können. Hierzu gehören insbesondere:</w:t>
      </w:r>
    </w:p>
    <w:p>
      <w:pPr>
        <w:ind w:left="420"/>
      </w:pPr>
      <w:r>
        <w:t xml:space="preserve">1. Personal- und Sachaufwendungen, die den in § 43 Abs. 1 Nr. 1 bis 4 genannten Funktionsbereichen nicht zugeordnet werden können;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die Zinsaufwendungen einschließlich der Zinszuführungen zur Pensionsrückstellung. Nicht hier auszuweisen sind die an die Rückversicherer gezahlten Depotzinsen für die einbehaltenen Sicherheiten, die von den Schaden- und Unfallversicherungsunternehmen sowie Rückversicherungsunternehmen bei dem Posten "Technischer Zinsertrag für eigene Rechnung" zu berücksichtigen und von den Lebensversicherungsunternehmen im Posten "Sonstige versicherungstechnische Aufwendungen für eigene Rechnung" zu erfassen sind;</w:t>
      </w:r>
    </w:p>
    <w:p>
      <w:pPr>
        <w:ind w:left="420"/>
      </w:pPr>
      <w:r>
        <w:t xml:space="preserve">4. die Abschreibungen auf Forderungen sowie die Aufwendungen aus der Bildung und Erhöhung der Pauschalwertberichtigungen zu den Forderungen, soweit diese Aufwendungen nicht</w:t>
      </w:r>
    </w:p>
    <w:p>
      <w:pPr>
        <w:ind w:left="780"/>
      </w:pPr>
      <w:r>
        <w:t xml:space="preserve">a) die zu den Kapitalanlagen gehörenden Forderungen betreffen, die im Posten "Abschreibungen auf Kapitalanlagen" zu erfassen sind;</w:t>
      </w:r>
    </w:p>
    <w:p>
      <w:pPr>
        <w:ind w:left="780"/>
      </w:pPr>
      <w:r>
        <w:t xml:space="preserve">b) die Beitragsforderungen an die Versicherungsnehmer betreffen, die im Posten "Gebuchte Bruttobeiträge" als Abzugsposten zu behandeln sind;</w:t>
      </w:r>
    </w:p>
    <w:p>
      <w:pPr>
        <w:ind w:left="420"/>
      </w:pPr>
      <w:r>
        <w:t xml:space="preserve">5. die von der ausländischen Generaldirektion der inländischen Niederlassung in Rechnung gestellten Zentralverwaltungsaufwendungen.</w:t>
      </w:r>
    </w:p>
    <w:p>
      <w:r>
        <w:rPr>
          <w:color w:val="555555"/>
          <w:sz w:val="17"/>
        </w:rPr>
        <w:t xml:space="preserve">Zitiervorschlag: § 48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