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RechVersV — Aufwendungen für Versicherungsfälle für eigene Rechnung</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(1) Die Aufwendungen für Versicherungsfälle für eigene Rechnung umfassen die im Geschäftsjahr für Versicherungsfälle geleisteten Bruttozahlungen sowie die Veränderung der Brutto-Rückstellung für noch nicht abgewickelte Versicherungsfälle. Von den Bruttoaufwendungen gemäß Satz 1 sind die Anteile der Rückversicherer abzusetzen.</w:t>
      </w:r>
    </w:p>
    <w:p>
      <w:r>
        <w:t xml:space="preserve">(2) Als Bruttobetrag der Zahlungen für Versicherungsfälle sind die gesamten im Geschäftsjahr erfolgten Zahlungen für Versicherungsfälle des Geschäftsjahres und der Vorjahre abzüglich der im Geschäftsjahr erhaltenen Zahlungen auf Grund von Regressen, Provenues und Teilungsabkommen sowie der Zahlungen im Sinne des § 26 Abs. 2 Satz 2 auszuweisen. Hierbei sind die Schadenreserve-Austrittsbeträge auf Grund von Vertragskündigungen zum Ende des Geschäftsjahres zu berücksichtigen. Der Bruttobetrag der Zahlungen für Versicherungsfälle umfaßt auch Rentenzahlungen, gezahlte Rückkäufe und Rückgewährbeträge sowie die dem Funktionsbereich "Regulierung von Versicherungsfällen, Rückkäufen und Rückgewährbeträgen" zugeordneten Personal- und Sachaufwendungen, bestehend aus den externen und internen Regulierungsaufwendungen. Zu den externen Regulierungsaufwendungen gehören insbesondere die Anwalts-, Gerichts- und Prozeßkosten, Honorare für betriebsfremde Schadenregulierer sowie die Zusatzprovisionen für Schadenregulierung an die Versicherungsvermittler. Als Regulierungsaufwendungen sind auch die Aufwendungen zur Abwehr unbegründeter Ansprüche in der Haftpflichtversicherung sowie die entschädigungsgleichen Aufwendungen in der Rechtsschutzversicherung, die durch die Betreuung der Versicherungsnehmer und der Anwälte sowie die Prüfung der Erfolgsaussichten entstehen, zu berücksichtigen.</w:t>
      </w:r>
    </w:p>
    <w:p>
      <w:r>
        <w:t xml:space="preserve">(3) Die Veränderung des Bruttobetrags der Rückstellung für noch nicht abgewickelte Versicherungsfälle ergibt sich aus der Differenz zwischen dem entsprechenden Wert am Ende des Geschäftsjahres und demjenigen am Anfang des Geschäftsjahres.</w:t>
      </w:r>
    </w:p>
    <w:p>
      <w:r>
        <w:t xml:space="preserve">(4) Bei dem Ausweis des Anteils der Rückversicherer an dem Bruttobetrag der Zahlungen für Versicherungsfälle und an der Veränderung des Bruttobetrags der Rückstellung für noch nicht abgewickelte Versicherungsfälle sind die Absätze 2 und 3 entsprechend anzuwenden.</w:t>
      </w:r>
    </w:p>
    <w:p>
      <w:r>
        <w:t xml:space="preserve">(5) Ist das Ergebnis aus der Abwicklung der aus dem vorhergehenden Geschäftsjahr übernommenen Rückstellung für noch nicht abgewickelte Versicherungsfälle erheblich, so ist dieses nach Art und Höhe im Anhang zu erläutern.</w:t>
      </w:r>
    </w:p>
    <w:p>
      <w:r>
        <w:rPr>
          <w:color w:val="555555"/>
          <w:sz w:val="17"/>
        </w:rPr>
        <w:t xml:space="preserve">Zitiervorschlag: § 41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