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RechVersV — Sonstige versicherungstechnische Erträge für eigene Rechnung</w:t>
      </w:r>
    </w:p>
    <w:p>
      <w:r>
        <w:rPr>
          <w:color w:val="555555"/>
          <w:sz w:val="18"/>
        </w:rPr>
        <w:t xml:space="preserve">Versicherungsunternehmens-Rechnungslegungsverordnung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Posten "Sonstige versicherungstechnische Erträge für eigene Rechnung" sind die versicherungstechnischen Erträge auszuweisen, die einem anderen Posten nicht zugeordnet werden können. Hierzu gehören insbesondere:</w:t>
      </w:r>
    </w:p>
    <w:p>
      <w:pPr>
        <w:ind w:left="420"/>
      </w:pPr>
      <w:r>
        <w:t xml:space="preserve">1. bei allen Versicherungsunternehmen die von den Versicherungsnehmern</w:t>
      </w:r>
    </w:p>
    <w:p>
      <w:pPr>
        <w:ind w:left="780"/>
      </w:pPr>
      <w:r>
        <w:t xml:space="preserve">a) zu leistenden Mahngebühren und Verzugszinsen;</w:t>
      </w:r>
    </w:p>
    <w:p>
      <w:pPr>
        <w:ind w:left="780"/>
      </w:pPr>
      <w:r>
        <w:t xml:space="preserve">b) nicht abgehobenen, verjährten Beitragsrückerstattungen;</w:t>
      </w:r>
    </w:p>
    <w:p>
      <w:pPr>
        <w:ind w:left="420"/>
      </w:pPr>
      <w:r>
        <w:t xml:space="preserve">2. bei den Lebensversicherungsunternehmen zusätzlich die Erträge aus der Erhöhung der aktivierten, noch nicht fälligen Ansprüche an die Versicherungsnehmer;</w:t>
      </w:r>
    </w:p>
    <w:p>
      <w:pPr>
        <w:ind w:left="420"/>
      </w:pPr>
      <w:r>
        <w:t xml:space="preserve">3. bei den Pensions- und Sterbekassen zusätzlich neben den unter Nummer 2 genannten Erträgen die Erträge aus den Zuwendungen von Mitglieds- oder Trägerunternehmen zur vollständigen oder teilweisen Deckung der Aufwendungen für den Versicherungsbetrieb.</w:t>
      </w:r>
    </w:p>
    <w:p>
      <w:r>
        <w:t xml:space="preserve">Von den vorstehenden Erträgen sind die Anteile der Rückversicherer abzusetzen.</w:t>
      </w:r>
    </w:p>
    <w:p>
      <w:r>
        <w:rPr>
          <w:color w:val="555555"/>
          <w:sz w:val="17"/>
        </w:rPr>
        <w:t xml:space="preserve">Zitiervorschlag: § 40 RechVersV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https://recht.nulegal.eu/gesetze/RechVersV/40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