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RechVersV — Abrechnungsverbindlichkeiten aus dem Rückversicherungsgeschäft</w:t>
      </w:r>
    </w:p>
    <w:p>
      <w:r>
        <w:rPr>
          <w:color w:val="555555"/>
          <w:sz w:val="18"/>
        </w:rPr>
        <w:t xml:space="preserve">Versicherungsunternehmens-Rechnungslegungsverordnung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Posten "Abrechnungsverbindlichkeiten aus dem Rückversicherungsgeschäft" sind die sich aus den laufenden Abrechnungen mit den Vor- und Rückversicherern und den Rückversicherungsmaklern ergebenden Schuldsalden aus dem in Rückdeckung übernommenen und in Rückdeckung gegebenen Versicherungsgeschäft auszuweisen. Im übrigen gilt § 16 Satz 2.</w:t>
      </w:r>
    </w:p>
    <w:p>
      <w:r>
        <w:rPr>
          <w:color w:val="555555"/>
          <w:sz w:val="17"/>
        </w:rPr>
        <w:t xml:space="preserve">Zitiervorschlag: § 34 RechVersV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https://recht.nulegal.eu/gesetze/RechVersV/34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