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RechVersV — Depotverbindlichkeiten aus dem in Rückdeckung gegebenen Versicherungsgeschäft</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(1) Im Posten "Depotverbindlichkeiten aus dem in Rückdeckung gegebenen Versicherungsgeschäft" sind die Verbindlichkeiten gegenüber Rückversicherern in Höhe der Beträge auszuweisen, die vom bilanzierenden Versicherungsunternehmen als Sicherheit einbehalten oder ihm vom Rückversicherer zu diesem Zweck belassen worden sind.</w:t>
      </w:r>
    </w:p>
    <w:p>
      <w:r>
        <w:t xml:space="preserve">(2) Die Depotverbindlichkeiten dürfen weder mit anderen Verbindlichkeiten gegenüber dem Rückversicherer zusammengefaßt noch mit Forderungen an den Rückversicherer verrechnet werden.</w:t>
      </w:r>
    </w:p>
    <w:p>
      <w:r>
        <w:rPr>
          <w:color w:val="555555"/>
          <w:sz w:val="17"/>
        </w:rPr>
        <w:t xml:space="preserve">Zitiervorschlag: § 33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