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RechVersV — Versicherungstechnische Rückstellungen im Bereich der Lebensversicherung, wenn das Anlagerisiko von den Versicherungsnehmern getragen wird</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Unter diesem Posten sind die versicherungstechnischen Rückstellungen für Verpflichtungen des Versicherungsunternehmens aus Lebensversicherungsverträgen auszuweisen, deren Wert oder Ertrag sich nach Kapitalanlagen bestimmt, für die der Versicherungsnehmer das Risiko trägt oder bei denen die Leistung indexgebunden ist.</w:t>
      </w:r>
    </w:p>
    <w:p>
      <w:r>
        <w:t xml:space="preserve">(2) Etwaige weitere versicherungstechnische Rückstellungen, die im Hinblick auf Sterblichkeit, Aufwendungen für den Versicherungsbetrieb oder andere Risiken (wie im Falle von zugesicherten Mindestleistungen oder Rückkaufswerten) gebildet werden, sind unter dem Passivposten "Deckungsrückstellung" auszuweisen.</w:t>
      </w:r>
    </w:p>
    <w:p>
      <w:r>
        <w:t xml:space="preserve">(3) Versicherungstechnische Rückstellungen für Verpflichtungen eines Tontinenbetreibers gegenüber den Mitgliedern einer Tontine sind ebenfalls hier auszuweisen.</w:t>
      </w:r>
    </w:p>
    <w:p>
      <w:r>
        <w:rPr>
          <w:color w:val="555555"/>
          <w:sz w:val="17"/>
        </w:rPr>
        <w:t xml:space="preserve">Zitiervorschlag: § 32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