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RechVersV — Zusammenfassung von Posten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</w:t>
      </w:r>
    </w:p>
    <w:p>
      <w:pPr>
        <w:ind w:left="420"/>
      </w:pPr>
      <w:r>
        <w:t xml:space="preserve">1. Bilanz (Formblatt 1) können bei den Posten</w:t>
      </w:r>
    </w:p>
    <w:p>
      <w:pPr>
        <w:ind w:left="780"/>
      </w:pPr>
      <w:r>
        <w:t xml:space="preserve">a) Kapitalanlagen in verbundenen Unternehmen und Beteiligungen (Aktivposten C Nr. II),</w:t>
      </w:r>
    </w:p>
    <w:p>
      <w:pPr>
        <w:ind w:left="780"/>
      </w:pPr>
      <w:r>
        <w:t xml:space="preserve">b) Sonstige Kapitalanlagen (Aktivposten C Nr. III),</w:t>
      </w:r>
    </w:p>
    <w:p>
      <w:pPr>
        <w:ind w:left="780"/>
      </w:pPr>
      <w:r>
        <w:t xml:space="preserve">c) Forderungen aus dem selbst abgeschlossenen Versicherungsgeschäft (Aktivposten E Nr. I),</w:t>
      </w:r>
    </w:p>
    <w:p>
      <w:pPr>
        <w:ind w:left="780"/>
      </w:pPr>
      <w:r>
        <w:t xml:space="preserve">d) Andere Rückstellungen (Passivposten G),</w:t>
      </w:r>
    </w:p>
    <w:p>
      <w:pPr>
        <w:ind w:left="780"/>
      </w:pPr>
      <w:r>
        <w:t xml:space="preserve">e) Verbindlichkeiten aus dem selbst abgeschlossenen Versicherungsgeschäft (Passivposten I Nr. I)</w:t>
      </w:r>
    </w:p>
    <w:p>
      <w:pPr>
        <w:ind w:left="420"/>
      </w:pPr>
      <w:r>
        <w:t xml:space="preserve">die mit einer arabischen oder römischen Zahl oder mit einem kleinen Buchstaben versehenen Unterposten, und in der</w:t>
      </w:r>
    </w:p>
    <w:p>
      <w:pPr>
        <w:ind w:left="420"/>
      </w:pPr>
      <w:r>
        <w:t xml:space="preserve">2. Gewinn- und Verlustrechnung können bei den Posten</w:t>
      </w:r>
    </w:p>
    <w:p>
      <w:pPr>
        <w:ind w:left="780"/>
      </w:pPr>
      <w:r>
        <w:t xml:space="preserve">a) Veränderung der übrigen versicherungstechnischen Netto-Rückstellungen (Formblätter 2 und 4, jeweils Posten Nr. I 5),</w:t>
      </w:r>
    </w:p>
    <w:p>
      <w:pPr>
        <w:ind w:left="780"/>
      </w:pPr>
      <w:r>
        <w:t xml:space="preserve">b) Aufwendungen für den Versicherungsbetrieb für eigene Rechnung (Formblatt 2 Posten Nr. I 7, Formblatt 3 Posten Nr.I 9, Formblatt 4 Posten Nr. I 7 und Nr. II 9),</w:t>
      </w:r>
    </w:p>
    <w:p>
      <w:pPr>
        <w:ind w:left="780"/>
      </w:pPr>
      <w:r>
        <w:t xml:space="preserve">c) Erträge aus Kapitalanlagen (Formblatt 2 Posten Nr. II 1, Formblatt 3 Posten Nr. I 3, Formblatt 4 Posten Nr. II 3 und Nr. III 2),</w:t>
      </w:r>
    </w:p>
    <w:p>
      <w:pPr>
        <w:ind w:left="780"/>
      </w:pPr>
      <w:r>
        <w:t xml:space="preserve">d) Aufwendungen für Kapitalanlagen (Formblatt 2 Posten Nr. II 2, Formblatt 3 Posten Nr. I 10, Formblatt 4 Posten Nr. II 10 und Nr. III 3)</w:t>
      </w:r>
    </w:p>
    <w:p>
      <w:pPr>
        <w:ind w:left="420"/>
      </w:pPr>
      <w:r>
        <w:t xml:space="preserve">die mit kleinen Buchstaben versehenen Unterposten zusammengefaßt werden, wenn</w:t>
      </w:r>
    </w:p>
    <w:p>
      <w:pPr>
        <w:ind w:left="780"/>
      </w:pPr>
      <w:r>
        <w:t xml:space="preserve">aa) ihr Betrag für die Vermittlung eines den tatsächlichen Verhältnissen entsprechenden Bildes im Sinne des § 264 Abs.2 des Handelsgesetzbuchs nicht erheblich ist oder</w:t>
      </w:r>
    </w:p>
    <w:p>
      <w:pPr>
        <w:ind w:left="780"/>
      </w:pPr>
      <w:r>
        <w:t xml:space="preserve">bb) dadurch die Darstellung klarer wird; in diesem Fall müssen die zusammengefaßten Posten jedoch im Anhang gesondert ausgewiesen werden.</w:t>
      </w:r>
    </w:p>
    <w:p>
      <w:r>
        <w:rPr>
          <w:color w:val="555555"/>
          <w:sz w:val="17"/>
        </w:rPr>
        <w:t xml:space="preserve">Zitiervorschlag: § 3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