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RechVersV — Rückstellung für noch nicht abgewickelte Versicherungsfälle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Für die Höhe der Rückstellung für noch nicht abgewickelte Versicherungsfälle gemäß § 341g Abs. 1 Satz 1 des Handelsgesetzbuchs sind in der Lebensversicherung die gegenüber dem Begünstigten bestehenden Verpflichtungen maßgebend; dazu gehören auch die Rückstellungen für noch nicht abgewickelte Rückkäufe, Rückgewährbeträge und Austrittsvergütungen. In der Krankenversicherung umfaßt diese Rückstellung die bis zum Abschlußstichtag eingetretenen Versicherungsfälle nur insoweit, als die Inanspruchnahme des Arztes, der Apotheke, des Krankenhauses oder von ähnlichem vor dem Abschlußstichtag liegt oder Tagegeld für Tage vor dem Abschlußstichtag gewährt wird. Der nach § 341g Abs. 3 Satz 2 des Handelsgesetzbuchs ermittelte Ausgangsbetrag ist um einen geschätzten Betrag zu erhöhen, dem das sich zumindest aus den letzten drei Geschäftsjahren ergebende durchschnittliche Verhältnis der Zahlungen für Versicherungsfälle in den ersten Monaten zu den gesamten Aufwendungen für Versicherungsfälle - jeweils für das vorausgegangene Geschäftsjahr - zugrunde zu legen ist. Zusätzlich sind hierbei die Auswirkungen außergewöhnlicher Umstände gesondert abzuschätzen.</w:t>
      </w:r>
    </w:p>
    <w:p>
      <w:r>
        <w:t xml:space="preserve">(2) Forderungen aus Regressen, Provenues und Teilungsabkommen sind von der Rückstellung für noch nicht abgewickelte Versicherungsfälle abzusetzen. In der Rechtsschutzversicherung gehören zu den Forderungen nach Satz 1 auch bestehende Forderungen an den Prozeßgegner auf Erstattung der Kosten. Erreichen die abgesetzten Forderungen einen größeren Umfang, so sind sie im Anhang anzugeben.</w:t>
      </w:r>
    </w:p>
    <w:p>
      <w:r>
        <w:rPr>
          <w:color w:val="555555"/>
          <w:sz w:val="17"/>
        </w:rPr>
        <w:t xml:space="preserve">Zitiervorschlag: § 26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