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RechVersV — Formblätter</w:t>
      </w:r>
    </w:p>
    <w:p>
      <w:r>
        <w:rPr>
          <w:color w:val="555555"/>
          <w:sz w:val="18"/>
        </w:rPr>
        <w:t xml:space="preserve">Versicherungsunternehmens-Rechnungslegungsverordnung</w:t>
      </w:r>
    </w:p>
    <w:p>
      <w:r>
        <w:rPr>
          <w:color w:val="555555"/>
          <w:sz w:val="18"/>
        </w:rPr>
        <w:t xml:space="preserve">Stand: 10.06.2019 (konsolidierte Textfassung, kein amtliches Inkrafttretensdatum)</w:t>
      </w:r>
    </w:p>
    <w:p>
      <w:r>
        <w:t xml:space="preserve">Versicherungsunternehmen haben an Stelle des § 266 des Handelsgesetzbuchs über die Gliederung der Bilanz das anliegende Formblatt 1 und an Stelle des § 275 des Handelsgesetzbuchs über die Gliederung der Gewinn- und Verlustrechnung,</w:t>
      </w:r>
    </w:p>
    <w:p>
      <w:pPr>
        <w:ind w:left="420"/>
      </w:pPr>
      <w:r>
        <w:t xml:space="preserve">1. soweit es sich um Schaden- und Unfallversicherungsunternehmen und Rückversicherungsunternehmen handelt, das anliegende Formblatt 2,</w:t>
      </w:r>
    </w:p>
    <w:p>
      <w:pPr>
        <w:ind w:left="420"/>
      </w:pPr>
      <w:r>
        <w:t xml:space="preserve">2. soweit es sich um Lebensversicherungsunternehmen, Pensions- und Sterbekassen und Krankenversicherungsunternehmen handelt, das anliegende Formblatt 3,</w:t>
      </w:r>
    </w:p>
    <w:p>
      <w:pPr>
        <w:ind w:left="420"/>
      </w:pPr>
      <w:r>
        <w:t xml:space="preserve">3. soweit es sich um Lebensversicherungsunternehmen handelt, die auch das selbst abgeschlossene Unfallversicherungsgeschäft betreiben, an Stelle von Formblatt 3 das anliegende Formblatt 4,</w:t>
      </w:r>
    </w:p>
    <w:p>
      <w:pPr>
        <w:ind w:left="420"/>
      </w:pPr>
      <w:r>
        <w:t xml:space="preserve">4. soweit es sich um Schaden- und Unfallversicherungsunternehmen handelt, die auch das selbst abgeschlossene Krankenversicherungsgeschäft nach Art der Lebensversicherung betreiben, an Stelle von Formblatt 2 das anliegende Formblatt 4, wenn dieses Geschäft einen größeren Umfang hat,</w:t>
      </w:r>
    </w:p>
    <w:p>
      <w:r>
        <w:t xml:space="preserve">anzuwenden, soweit für bestimmte Arten und Rechtsformen von Versicherungsunternehmen oder wegen ihrer Größe nachfolgend oder in den Fußnoten zu den Formblättern nichts anderes vorgeschrieben ist. Als Rückversicherungsunternehmen gelten nur solche Unternehmen, die ausschließlich die Rückversicherung betreiben.</w:t>
      </w:r>
    </w:p>
    <w:p>
      <w:r>
        <w:rPr>
          <w:color w:val="555555"/>
          <w:sz w:val="17"/>
        </w:rPr>
        <w:t xml:space="preserve">Zitiervorschlag: § 2 RechVersV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https://recht.nulegal.eu/gesetze/RechVersV/2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