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RechVersV — Forderungen aus dem selbst abgeschlossenen Versicherungsgeschäft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Unterposten "noch nicht fällige Ansprüche" sind von den Lebensversicherungsunternehmen und von den Pensions- und Sterbekassen, die die Deckungsrückstellung zillmern, die noch nicht fälligen Ansprüche der Versicherungsunternehmen auf Beiträge der Versicherungsnehmer sowie der Mitglieds- und Trägerunternehmen auszuweisen, soweit diese geleistete, rechnungsmäßig gedeckte Abschlußaufwendungen betreffen.</w:t>
      </w:r>
    </w:p>
    <w:p>
      <w:r>
        <w:t xml:space="preserve">(2) Bei Verträgen, auf die das bis zum Inkrafttreten des Dritten Durchführungsgesetzes/EWG zum Versicherungsaufsichtsgesetz vom 21. Juli 1994 (BGBl. I S. 1630) geltende Recht weiterhin anzuwenden ist, ist, wenn Garantiewerte vorgesehen sind, der Unterschiedsbetrag zwischen der geschäftsplanmäßigen Deckungsrückstellung und der uneingeschränkt gezillmerten Deckungsrückstellung hier auszuweisen.</w:t>
      </w:r>
    </w:p>
    <w:p>
      <w:r>
        <w:rPr>
          <w:color w:val="555555"/>
          <w:sz w:val="17"/>
        </w:rPr>
        <w:t xml:space="preserve">Zitiervorschlag: § 15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