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RechPensV — Abrechnungsforderungen aus dem Rückversicherungsgeschäft</w:t>
      </w:r>
    </w:p>
    <w:p>
      <w:r>
        <w:rPr>
          <w:color w:val="555555"/>
          <w:sz w:val="18"/>
        </w:rPr>
        <w:t xml:space="preserve">Pensionsfonds-Rechnungslegungsverordnung</w:t>
      </w:r>
    </w:p>
    <w:p>
      <w:r>
        <w:rPr>
          <w:color w:val="555555"/>
          <w:sz w:val="18"/>
        </w:rPr>
        <w:t xml:space="preserve">Stand: 10.06.2019 (konsolidierte Textfassung, kein amtliches Inkrafttretensdatum)</w:t>
      </w:r>
    </w:p>
    <w:p>
      <w:r>
        <w:t xml:space="preserve">Im Posten "Abrechnungsforderungen aus dem Rückversicherungsgeschäft" sind die sich aus den laufenden Abrechnungen mit den Rückversicherern und den Rückversicherungsmaklern ergebenden Forderungssalden aus dem in Rückversicherung gegebenen Pensionsfondsgeschäft auszuweisen. Bei zum Abschlussstichtag gekündigten Rückversicherungsverträgen umfassen die Abrechnungssalden auch die auf diese entfallenden pensionsfondstechnischen Rückstellungen, sofern sie zum Abschlussstichtag abgelöst werden; erfolgt die Ablösung der pensionsfondstechnischen Rückstellungen erst zu einem späteren Abschlussstichtag oder Zeitpunkt, sind sie bis dahin unter den entsprechenden Unterposten der pensionsfondstechnischen Rückstellungen auszuweisen.</w:t>
      </w:r>
    </w:p>
    <w:p>
      <w:r>
        <w:rPr>
          <w:color w:val="555555"/>
          <w:sz w:val="17"/>
        </w:rPr>
        <w:t xml:space="preserve">Zitiervorschlag: § 9 RechPensV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https://recht.nulegal.eu/gesetze/RechPensV/9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