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RechPensV — Konzernbilanz und Konzern-Gewinn- und Verlustrechnung</w:t>
      </w:r>
    </w:p>
    <w:p>
      <w:r>
        <w:rPr>
          <w:color w:val="555555"/>
          <w:sz w:val="18"/>
        </w:rPr>
        <w:t xml:space="preserve">Pensionsfonds-Rechnungslegungsverordnung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Soweit nicht die Besonderheiten des Konzerns Abweichungen bedingen, ist für die Aufstellung der Konzernbilanz das Formblatt 1 und für die Aufstellung der Konzern-Gewinn- und Verlustrechnung das Formblatt 2 anzuwenden.</w:t>
      </w:r>
    </w:p>
    <w:p>
      <w:r>
        <w:t xml:space="preserve">(2) Auf die Konzernbilanz und die Konzern-Gewinn- und Verlustrechnung sind im Übrigen, soweit diese wegen ihrer Eigenart keine Abweichungen bedingen,</w:t>
      </w:r>
    </w:p>
    <w:p>
      <w:pPr>
        <w:ind w:left="420"/>
      </w:pPr>
      <w:r>
        <w:t xml:space="preserve">1. die §§ 3, 4, 6 bis 33 sowie</w:t>
      </w:r>
    </w:p>
    <w:p>
      <w:pPr>
        <w:ind w:left="420"/>
      </w:pPr>
      <w:r>
        <w:t xml:space="preserve">2. die gemäß § 5 dieser Verordnung entsprechend anwendbaren §§ 6 bis 9 Satz 1, §§ 11, 12, 18 bis 20 und 22 bis 24 der Verordnung über die Rechnungslegung von Versicherungsunternehmen, § 6 Abs. 2 mit der vorgeschriebenen Maßgabe,</w:t>
      </w:r>
    </w:p>
    <w:p>
      <w:r>
        <w:t xml:space="preserve">entsprechend anzuwenden.</w:t>
      </w:r>
    </w:p>
    <w:p>
      <w:r>
        <w:rPr>
          <w:color w:val="555555"/>
          <w:sz w:val="17"/>
        </w:rPr>
        <w:t xml:space="preserve">Zitiervorschlag: § 38 RechPensV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https://recht.nulegal.eu/gesetze/RechPensV/38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