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RechPensV — Lagebericht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Lagebericht sind zusätzlich zu den in § 289 des Handelsgesetzbuchs vorgeschriebenen Angaben folgende Angaben aufzunehmen:</w:t>
      </w:r>
    </w:p>
    <w:p>
      <w:pPr>
        <w:ind w:left="420"/>
      </w:pPr>
      <w:r>
        <w:t xml:space="preserve">1. Angabe der betriebenen Arten von Pensionsplänen,</w:t>
      </w:r>
    </w:p>
    <w:p>
      <w:pPr>
        <w:ind w:left="420"/>
      </w:pPr>
      <w:r>
        <w:t xml:space="preserve">2. Bericht über den Geschäftsverlauf in den einzelnen Arten von Pensionsplänen.</w:t>
      </w:r>
    </w:p>
    <w:p>
      <w:r>
        <w:t xml:space="preserve">(2) Von den Pensionsfondsvereinen auf Gegenseitigkeit ist zusätzlich zu erläutern, in welcher Weise ein erhobener Nachschuss ermittelt wurde.</w:t>
      </w:r>
    </w:p>
    <w:p>
      <w:r>
        <w:t xml:space="preserve">(3) Zusätzlich ist der Pensionsfondsvertragsbestand nach dem anliegenden Muster 4 aufzugliedern.</w:t>
      </w:r>
    </w:p>
    <w:p>
      <w:r>
        <w:rPr>
          <w:color w:val="555555"/>
          <w:sz w:val="17"/>
        </w:rPr>
        <w:t xml:space="preserve">Zitiervorschlag: § 37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