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RechPensV — Sonstige Erträge</w:t>
      </w:r>
    </w:p>
    <w:p>
      <w:r>
        <w:rPr>
          <w:color w:val="555555"/>
          <w:sz w:val="18"/>
        </w:rPr>
        <w:t xml:space="preserve">Pensionsfonds-Rechnungslegungsverordnung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Posten "Sonstige Erträge" sind die nichtpensionsfondstechnischen Erträge auszuweisen, die einem anderen Posten nicht zugeordnet werden können. Hierzu gehören insbesondere:</w:t>
      </w:r>
    </w:p>
    <w:p>
      <w:pPr>
        <w:ind w:left="420"/>
      </w:pPr>
      <w:r>
        <w:t xml:space="preserve">1. die Erträge aus erbrachten Dienstleistungen,</w:t>
      </w:r>
    </w:p>
    <w:p>
      <w:pPr>
        <w:ind w:left="420"/>
      </w:pPr>
      <w:r>
        <w:t xml:space="preserve">2. (weggefallen)</w:t>
      </w:r>
    </w:p>
    <w:p>
      <w:pPr>
        <w:ind w:left="420"/>
      </w:pPr>
      <w:r>
        <w:t xml:space="preserve">3. sonstige Zinsen und ähnliche Erträge, soweit sie nicht aus Kapitalanlagen herrühren,</w:t>
      </w:r>
    </w:p>
    <w:p>
      <w:pPr>
        <w:ind w:left="420"/>
      </w:pPr>
      <w:r>
        <w:t xml:space="preserve">4. die Erträge auf Grund von Eingängen aus abgeschriebenen Forderungen sowie Erträge aus der Auflösung und Verminderung der Pauschalwertberichtigungen zu den Forderungen, soweit diese Erträge nicht aus den</w:t>
      </w:r>
    </w:p>
    <w:p>
      <w:pPr>
        <w:ind w:left="780"/>
      </w:pPr>
      <w:r>
        <w:t xml:space="preserve">a) zu den Kapitalanlagen gehörenden Forderungen herrühren, die im Posten "Erträge aus Zuschreibungen" zu erfassen sind,</w:t>
      </w:r>
    </w:p>
    <w:p>
      <w:pPr>
        <w:ind w:left="780"/>
      </w:pPr>
      <w:r>
        <w:t xml:space="preserve">b) Beitragsforderungen an die Arbeitgeber und Arbeitnehmer herrühren, die im Posten "Gebuchte Bruttobeiträge" zu erfassen sind.</w:t>
      </w:r>
    </w:p>
    <w:p>
      <w:r>
        <w:rPr>
          <w:color w:val="555555"/>
          <w:sz w:val="17"/>
        </w:rPr>
        <w:t xml:space="preserve">Zitiervorschlag: § 31 RechPensV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https://recht.nulegal.eu/gesetze/RechPensV/31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