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RechPensV — Aufwendungen für Kapitalanlagen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Als Aufwendungen für die Verwaltung der Kapitalanlagen sind die dem Funktionsbereich "Verwaltung von Kapitalanlagen" zugeordneten Personal- und Sachaufwendungen auszuweisen.</w:t>
      </w:r>
    </w:p>
    <w:p>
      <w:r>
        <w:t xml:space="preserve">(2) Die Zinsaufwendungen und sonstigen Aufwendungen für die Kapitalanlagen umfassen insbesondere:</w:t>
      </w:r>
    </w:p>
    <w:p>
      <w:pPr>
        <w:ind w:left="420"/>
      </w:pPr>
      <w:r>
        <w:t xml:space="preserve">1. die Aufwendungen für die Grundstücke, grundstücksgleichen Rechte und Bauten einschließlich der Bauten auf fremden Grundstücken, wie Betriebskosten, Instandhaltungskosten, Mietausfallrisiken, Abgaben und Versicherungsbeiträge,</w:t>
      </w:r>
    </w:p>
    <w:p>
      <w:pPr>
        <w:ind w:left="420"/>
      </w:pPr>
      <w:r>
        <w:t xml:space="preserve">2. Depotgebühren,</w:t>
      </w:r>
    </w:p>
    <w:p>
      <w:pPr>
        <w:ind w:left="420"/>
      </w:pPr>
      <w:r>
        <w:t xml:space="preserve">3. Vergütungen an den Treuhänder für den Deckungsstock,</w:t>
      </w:r>
    </w:p>
    <w:p>
      <w:pPr>
        <w:ind w:left="420"/>
      </w:pPr>
      <w:r>
        <w:t xml:space="preserve">4. Verluste aus Beteiligungen an rechtsfähigen Personengesellschaften,</w:t>
      </w:r>
    </w:p>
    <w:p>
      <w:pPr>
        <w:ind w:left="420"/>
      </w:pPr>
      <w:r>
        <w:t xml:space="preserve">5. Schuldzinsen für Hypotheken auf den eigenen Grundbesitz.</w:t>
      </w:r>
    </w:p>
    <w:p>
      <w:r>
        <w:rPr>
          <w:color w:val="555555"/>
          <w:sz w:val="17"/>
        </w:rPr>
        <w:t xml:space="preserve">Zitiervorschlag: § 30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