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RechPensV — Sonstige pensionsfondstechnische Aufwendungen für eigene Rechnung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pensionsfondstechnische Aufwendungen für eigene Rechnung" sind die pensionsfondstechnischen Aufwendungen auszuweisen, die einem anderen Posten nicht zugeordnet werden können. Hierzu gehören insbesondere:</w:t>
      </w:r>
    </w:p>
    <w:p>
      <w:pPr>
        <w:ind w:left="420"/>
      </w:pPr>
      <w:r>
        <w:t xml:space="preserve">1. die Zinsen auf angesammelte Überschussanteile,</w:t>
      </w:r>
    </w:p>
    <w:p>
      <w:pPr>
        <w:ind w:left="420"/>
      </w:pPr>
      <w:r>
        <w:t xml:space="preserve">2. die Direktgutschrift von Überschussanteilen, soweit diese nicht der Deckungsrückstellung zugeführt werden,</w:t>
      </w:r>
    </w:p>
    <w:p>
      <w:pPr>
        <w:ind w:left="420"/>
      </w:pPr>
      <w:r>
        <w:t xml:space="preserve">3. die an die Rückversicherer gezahlten Depotzinsen auf die einbehaltenen Sicherheiten.</w:t>
      </w:r>
    </w:p>
    <w:p>
      <w:r>
        <w:t xml:space="preserve">Von den vorstehenden Aufwendungen sind die Anteile der Rückversicherer abzusetzen.</w:t>
      </w:r>
    </w:p>
    <w:p>
      <w:r>
        <w:rPr>
          <w:color w:val="555555"/>
          <w:sz w:val="17"/>
        </w:rPr>
        <w:t xml:space="preserve">Zitiervorschlag: § 28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