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RechPensV — Sonstige pensionsfonds- technische Erträge für eigene Rechnung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pensionsfondstechnische Erträge für eigene Rechnung" sind die pensionsfondstechnischen Erträge auszuweisen, die einem anderen Posten nicht zugeordnet werden können. Hierzu gehören insbesondere:</w:t>
      </w:r>
    </w:p>
    <w:p>
      <w:pPr>
        <w:ind w:left="420"/>
      </w:pPr>
      <w:r>
        <w:t xml:space="preserve">1. die von den Arbeitgebern und Arbeitnehmern</w:t>
      </w:r>
    </w:p>
    <w:p>
      <w:pPr>
        <w:ind w:left="780"/>
      </w:pPr>
      <w:r>
        <w:t xml:space="preserve">a) zu leistenden Mahngebühren und Verzugszinsen,</w:t>
      </w:r>
    </w:p>
    <w:p>
      <w:pPr>
        <w:ind w:left="780"/>
      </w:pPr>
      <w:r>
        <w:t xml:space="preserve">b) nicht abgehobenen, verjährten Beitragsrückerstattungen,</w:t>
      </w:r>
    </w:p>
    <w:p>
      <w:pPr>
        <w:ind w:left="420"/>
      </w:pPr>
      <w:r>
        <w:t xml:space="preserve">2. die Erträge aus den Zuwendungen von Arbeitgebern zur vollständigen oder teilweisen Deckung der Aufwendungen für den Pensionsfondsbetrieb.</w:t>
      </w:r>
    </w:p>
    <w:p>
      <w:r>
        <w:t xml:space="preserve">Von den vorstehenden Erträgen sind die Anteile der Rückversicherer abzusetzen.</w:t>
      </w:r>
    </w:p>
    <w:p>
      <w:r>
        <w:rPr>
          <w:color w:val="555555"/>
          <w:sz w:val="17"/>
        </w:rPr>
        <w:t xml:space="preserve">Zitiervorschlag: § 24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