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RechKredV — Fristengliederung</w:t>
      </w:r>
    </w:p>
    <w:p>
      <w:r>
        <w:rPr>
          <w:color w:val="555555"/>
          <w:sz w:val="18"/>
        </w:rPr>
        <w:t xml:space="preserve">Kreditinstituts-Rechnungslegungsverordnung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Anhang sind gesondert die Beträge der folgenden Posten oder Unterposten des Formblattes 1 (Bilanz) nach Restlaufzeiten aufzugliedern:</w:t>
      </w:r>
    </w:p>
    <w:p>
      <w:pPr>
        <w:ind w:left="420"/>
      </w:pPr>
      <w:r>
        <w:t xml:space="preserve">1. andere Forderungen an Kreditinstitute mit Ausnahme der darin enthaltenen Bausparguthaben aus abgeschlossenen Bausparverträgen (Aktivposten Nr. 3 Buchstabe b),</w:t>
      </w:r>
    </w:p>
    <w:p>
      <w:pPr>
        <w:ind w:left="420"/>
      </w:pPr>
      <w:r>
        <w:t xml:space="preserve">2. Forderungen an Kunden (Aktivposten Nr. 4),</w:t>
      </w:r>
    </w:p>
    <w:p>
      <w:pPr>
        <w:ind w:left="420"/>
      </w:pPr>
      <w:r>
        <w:t xml:space="preserve">3. Verbindlichkeiten gegenüber Kreditinstituten mit vereinbarter Laufzeit oder Kündigungsfrist (Passivposten Nr. 1 Buchstabe b),</w:t>
      </w:r>
    </w:p>
    <w:p>
      <w:pPr>
        <w:ind w:left="420"/>
      </w:pPr>
      <w:r>
        <w:t xml:space="preserve">4. Spareinlagen mit vereinbarter Kündigungsfrist von mehr als drei Monaten (Passivposten Nr. 2 Buchstabe a Doppelbuchstabe ab),</w:t>
      </w:r>
    </w:p>
    <w:p>
      <w:pPr>
        <w:ind w:left="420"/>
      </w:pPr>
      <w:r>
        <w:t xml:space="preserve">5. andere Verbindlichkeiten gegenüber Kunden mit vereinbarter Laufzeit oder Kündigungsfrist (Passivposten Nr. 2 Buchstabe b Doppelbuchstabe bb),</w:t>
      </w:r>
    </w:p>
    <w:p>
      <w:pPr>
        <w:ind w:left="420"/>
      </w:pPr>
      <w:r>
        <w:t xml:space="preserve">6. andere verbriefte Verbindlichkeiten (Passivposten Nr. 3 Buchstabe b).</w:t>
      </w:r>
    </w:p>
    <w:p>
      <w:r>
        <w:t xml:space="preserve">Auf Pfandbriefbanken und Bausparkassen ist Satz 1 entsprechend anzuwenden; Bausparkassen brauchen die Bauspareinlagen nicht nach Restlaufzeiten aufzugliedern.</w:t>
      </w:r>
    </w:p>
    <w:p>
      <w:r>
        <w:t xml:space="preserve">(2) Für die Aufgliederung nach Absatz 1 sind folgende Restlaufzeiten maßgebend:</w:t>
      </w:r>
    </w:p>
    <w:p>
      <w:pPr>
        <w:ind w:left="420"/>
      </w:pPr>
      <w:r>
        <w:t xml:space="preserve">1. bis drei Monate,</w:t>
      </w:r>
    </w:p>
    <w:p>
      <w:pPr>
        <w:ind w:left="420"/>
      </w:pPr>
      <w:r>
        <w:t xml:space="preserve">2. mehr als drei Monate bis ein Jahr,</w:t>
      </w:r>
    </w:p>
    <w:p>
      <w:pPr>
        <w:ind w:left="420"/>
      </w:pPr>
      <w:r>
        <w:t xml:space="preserve">3. mehr als ein Jahr bis fünf Jahre,</w:t>
      </w:r>
    </w:p>
    <w:p>
      <w:pPr>
        <w:ind w:left="420"/>
      </w:pPr>
      <w:r>
        <w:t xml:space="preserve">4. mehr als fünf Jahre.</w:t>
      </w:r>
    </w:p>
    <w:p>
      <w:r>
        <w:t xml:space="preserve">(3) Im Anhang sind ferner zu folgenden Posten der Bilanz anzugeben:</w:t>
      </w:r>
    </w:p>
    <w:p>
      <w:pPr>
        <w:ind w:left="420"/>
      </w:pPr>
      <w:r>
        <w:t xml:space="preserve">1. die im Posten "Forderungen an Kunden" (Aktivposten Nr. 4) enthaltenen Forderungen mit unbestimmter Laufzeit;</w:t>
      </w:r>
    </w:p>
    <w:p>
      <w:pPr>
        <w:ind w:left="420"/>
      </w:pPr>
      <w:r>
        <w:t xml:space="preserve">2. die im Posten "Schuldverschreibungen und andere festverzinsliche Wertpapiere" (Aktivposten Nr. 5) und im Unterposten "begebene Schuldverschreibungen" (Passivposten Nr. 3 Buchstabe a) enthaltenen Beträge, die in dem Jahr, das auf den Bilanzstichtag folgt, fällig werden.</w:t>
      </w:r>
    </w:p>
    <w:p>
      <w:r>
        <w:rPr>
          <w:color w:val="555555"/>
          <w:sz w:val="17"/>
        </w:rPr>
        <w:t xml:space="preserve">Zitiervorschlag: § 9 RechKredV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https://recht.nulegal.eu/gesetze/RechKredV/9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