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RechKredV — Restlaufzeit</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Für die Gliederung nach Restlaufzeiten sind bei ungekündigten Kündigungsgeldern die Kündigungsfristen maßgebend. Sofern neben der Kündigungsfrist noch eine Kündigungssperrfrist vereinbart wird, ist diese ebenfalls zu berücksichtigen. Bei Forderungen sind vorzeitige Kündigungsmöglichkeiten nicht zu berücksichtigen.</w:t>
      </w:r>
    </w:p>
    <w:p>
      <w:r>
        <w:t xml:space="preserve">(2) Bei Forderungen oder Verbindlichkeiten mit Rückzahlungen in regelmäßigen Raten gilt als Restlaufzeit der Zeitraum zwischen dem Bilanzstichtag und dem Fälligkeitstag jedes Teilbetrags.</w:t>
      </w:r>
    </w:p>
    <w:p>
      <w:r>
        <w:t xml:space="preserve">(3) Als täglich fällig sind nur solche Forderungen und Verbindlichkeiten auszuweisen, über die jederzeit ohne vorherige Kündigung verfügt werden kann oder für die eine Laufzeit oder Kündigungsfrist von 24 Stunden oder von einem Geschäftstag vereinbart worden ist; hierzu rechnen auch die sogenannten Tagesgelder und Gelder mit täglicher Kündigung einschließlich der über geschäftsfreie Tage angelegten Gelder mit Fälligkeit oder Kündigungsmöglichkeit am nächsten Geschäftstag.</w:t>
      </w:r>
    </w:p>
    <w:p>
      <w:r>
        <w:rPr>
          <w:color w:val="555555"/>
          <w:sz w:val="17"/>
        </w:rPr>
        <w:t xml:space="preserve">Zitiervorschlag: § 8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