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RechKredV — Wertpapiere</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Als Wertpapiere sind Aktien, Zwischenscheine, Anteile oder Aktien an Investmentvermögen, Optionsscheine, Zins- und Gewinnanteilscheine, börsenfähige Inhaber- und Ordergenußscheine, börsenfähige Inhaberschuldverschreibungen auszuweisen, auch wenn sie vinkuliert sind, unabhängig davon, ob sie in Wertpapierurkunden verbrieft oder als Wertrechte ausgestaltet sind, börsenfähige Orderschuldverschreibungen, soweit sie Teile einer Gesamtemission sind, ferner andere festverzinsliche Inhaberpapiere, soweit sie börsenfähig sind, und andere nicht festverzinsliche Wertpapiere, soweit sie börsennotiert sind. Hierzu rechnen auch ausländische Geldmarktpapiere, die zwar auf den Namen lauten, aber wie Inhaberpapiere gehandelt werden.</w:t>
      </w:r>
    </w:p>
    <w:p>
      <w:r>
        <w:t xml:space="preserve">(2) Als börsenfähig gelten Wertpapiere, die die Voraussetzungen einer Börsenzulassung erfüllen; bei Schuldverschreibungen genügt es, daß alle Stücke einer Emission hinsichtlich Verzinsung, Laufzeitbeginn und Fälligkeit einheitlich ausgestattet sind.</w:t>
      </w:r>
    </w:p>
    <w:p>
      <w:r>
        <w:t xml:space="preserve">(3) Als börsennotiert gelten Wertpapiere, die an einer deutschen Börse zum Handel im regulierten Markt zugelassen sind, außerdem Wertpapiere, die an ausländischen Börsen zugelassen sind oder gehandelt werden.</w:t>
      </w:r>
    </w:p>
    <w:p>
      <w:r>
        <w:rPr>
          <w:color w:val="555555"/>
          <w:sz w:val="17"/>
        </w:rPr>
        <w:t xml:space="preserve">Zitiervorschlag: § 7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