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RechKredV — Treuhandgeschäfte</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Vermögensgegenstände und Schulden, die ein Institut im eigenen Namen, aber für fremde Rechnung hält, sind in seine Bilanz aufzunehmen. Die Gesamtbeträge sind in der Bilanz unter den Posten "Treuhandvermögen" (Aktivposten Nr. 9) und "Treuhandverbindlichkeiten" (Passivposten Nr. 4) auszuweisen und im Anhang nach den Aktiv- und Passivposten des Formblatts aufzugliedern. Als Gläubiger gilt bei hereingenommenen Treuhandgeldern die Stelle, der das bilanzierende Kreditinstitut die Gelder unmittelbar schuldet. Als Schuldner gilt bei Treuhandkrediten die Stelle, an die das bilanzierende Kreditinstitut die Gelder unmittelbar ausreicht.</w:t>
      </w:r>
    </w:p>
    <w:p>
      <w:r>
        <w:t xml:space="preserve">(2) Kredite sind unter den Voraussetzungen des Absatzes 1 in der Bilanz im Vermerk "darunter: Treuhandkredite" bei Aktivposten Nr. 9 und bei Passivposten Nr. 4 auszuweisen.</w:t>
      </w:r>
    </w:p>
    <w:p>
      <w:r>
        <w:t xml:space="preserve">(3) Vermögensgegenstände und Schulden, die ein Institut im fremden Namen für fremde Rechnung hält, dürfen in seine Bilanz nicht aufgenommen werden.</w:t>
      </w:r>
    </w:p>
    <w:p>
      <w:r>
        <w:t xml:space="preserve">(4) Kapitalverwaltungsgesellschaften haben die Summe der Inventarwerte und die Zahl der verwalteten Investmentvermögen in der Bilanz auf der Passivseite unter dem Strich in einem Posten mit der Bezeichnung "Für Anteilinhaber verwaltete Investmentvermögen" auszuweisen.</w:t>
      </w:r>
    </w:p>
    <w:p>
      <w:r>
        <w:rPr>
          <w:color w:val="555555"/>
          <w:sz w:val="17"/>
        </w:rPr>
        <w:t xml:space="preserve">Zitiervorschlag: § 6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