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RechKredV — Gemeinschaftsgeschäfte</w:t>
      </w:r>
    </w:p>
    <w:p>
      <w:r>
        <w:rPr>
          <w:color w:val="555555"/>
          <w:sz w:val="18"/>
        </w:rPr>
        <w:t xml:space="preserve">Kreditinstituts-Rechnungslegungsverordnung</w:t>
      </w:r>
    </w:p>
    <w:p>
      <w:r>
        <w:rPr>
          <w:color w:val="555555"/>
          <w:sz w:val="18"/>
        </w:rPr>
        <w:t xml:space="preserve">Stand: 10.06.2019 (konsolidierte Textfassung, kein amtliches Inkrafttretensdatum)</w:t>
      </w:r>
    </w:p>
    <w:p>
      <w:r>
        <w:t xml:space="preserve">Wird ein Kredit von mehreren Kreditinstituten gemeinschaftlich gewährt (Gemeinschaftskredit), so hat jedes beteiligte oder unterbeteiligte Kreditinstitut nur seinen eigenen Anteil an dem Kredit in die Bilanz aufzunehmen, soweit es die Mittel für den Gemeinschaftskredit zur Verfügung gestellt hat. Übernimmt ein Kreditinstitut über seinen eigenen Anteil hinaus die Haftung für einen höheren Betrag, so ist der Unterschiedsbetrag als Eventualverbindlichkeit auf der Passivseite der Bilanz unter dem Strich zu vermerken. Wird von einem Kreditinstitut lediglich die Haftung für den Ausfall eines Teils der Forderung aus dem Gemeinschaftskredit übernommen, so hat das kreditgebende Kreditinstitut den vollen Kreditbetrag auszuweisen, das haftende Kreditinstitut seinen Haftungsbetrag in der Bilanz im Unterposten "Verbindlichkeiten aus Bürgschaften und Gewährleistungsverträgen" (Passivposten unter dem Strich Nr. 1 Buchstabe b) zu vermerken. Die Sätze 1 und 2 sind entsprechend anzuwenden, wenn Kreditinstitute Wertpapiere oder Beteiligungen gemeinschaftlich erwerben.</w:t>
      </w:r>
    </w:p>
    <w:p>
      <w:r>
        <w:rPr>
          <w:color w:val="555555"/>
          <w:sz w:val="17"/>
        </w:rPr>
        <w:t xml:space="preserve">Zitiervorschlag: § 5 RechKredV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https://recht.nulegal.eu/gesetze/RechKredV/5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