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RechKredV — Ordnungswidrigkeiten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(1) Ordnungswidrig im Sinne des § 340n Absatz 1 Satz 1 Nummer 6 des Handelsgesetzbuchs handelt, wer als Geschäftsleiter im Sinne des § 1 Abs. 2 Satz 1 oder des § 53 Abs. 2 Nr. 1 des Gesetzes über das Kreditwesen, oder als Geschäftsleiter im Sinne des § 2 Absatz 36 des Wertpapierinstitutsgesetzes, oder als Inhaber eines in der Rechtsform des Einzelkaufmanns betriebenen Instituts oder als Mitglied des Aufsichtsrats bei der Aufstellung oder Feststellung des Jahresabschlusses</w:t>
      </w:r>
    </w:p>
    <w:p>
      <w:pPr>
        <w:ind w:left="420"/>
      </w:pPr>
      <w:r>
        <w:t xml:space="preserve">1. entgegen § 2 Abs. 1 Satz 1 nicht das vorgeschriebene Formblatt anwendet,</w:t>
      </w:r>
    </w:p>
    <w:p>
      <w:pPr>
        <w:ind w:left="420"/>
      </w:pPr>
      <w:r>
        <w:t xml:space="preserve">2. entgegen §§ 3 bis 5, 6 Abs. 1 Satz 1 oder 2, Abs. 2 oder 4 die dort genannten Posten nicht, nicht in der vorgeschriebenen Weise oder nicht mit dem vorgeschriebenen Inhalt ausweist,</w:t>
      </w:r>
    </w:p>
    <w:p>
      <w:pPr>
        <w:ind w:left="420"/>
      </w:pPr>
      <w:r>
        <w:t xml:space="preserve">3. entgegen § 6 Abs. 3 dort genannte Vermögensgegenstände oder Schulden in seine Bilanz aufnimmt,</w:t>
      </w:r>
    </w:p>
    <w:p>
      <w:pPr>
        <w:ind w:left="420"/>
      </w:pPr>
      <w:r>
        <w:t xml:space="preserve">4. einer Vorschrift des § 9 über die Fristengliederung zuwiderhandelt,</w:t>
      </w:r>
    </w:p>
    <w:p>
      <w:pPr>
        <w:ind w:left="420"/>
      </w:pPr>
      <w:r>
        <w:t xml:space="preserve">5. entgegen § 10 Abs. 1 dort genannte Verbindlichkeiten nicht verrechnet,</w:t>
      </w:r>
    </w:p>
    <w:p>
      <w:pPr>
        <w:ind w:left="420"/>
      </w:pPr>
      <w:r>
        <w:t xml:space="preserve">6. entgegen § 10 Abs. 2 Forderungen oder Verbindlichkeiten verrechnet,</w:t>
      </w:r>
    </w:p>
    <w:p>
      <w:pPr>
        <w:ind w:left="420"/>
      </w:pPr>
      <w:r>
        <w:t xml:space="preserve">7. einer Vorschrift der §§ 12 bis 33 über die in einzelne Posten der Bilanz oder der Gewinn- und Verlustrechnung aufzunehmenden Angaben zuwiderhandelt,</w:t>
      </w:r>
    </w:p>
    <w:p>
      <w:pPr>
        <w:ind w:left="420"/>
      </w:pPr>
      <w:r>
        <w:t xml:space="preserve">8. einer Vorschrift des § 34 oder 35 über zusätzliche Erläuterungen oder Pflichtangaben zuwiderhandelt oder</w:t>
      </w:r>
    </w:p>
    <w:p>
      <w:pPr>
        <w:ind w:left="420"/>
      </w:pPr>
      <w:r>
        <w:t xml:space="preserve">9. einer Vorschrift des § 36 über Termingeschäfte zuwiderhandelt.</w:t>
      </w:r>
    </w:p>
    <w:p>
      <w:r>
        <w:t xml:space="preserve">(2) Die Bestimmungen des Absatzes 1 gelten auch für den Konzernabschluß im Sinne des § 37.</w:t>
      </w:r>
    </w:p>
    <w:p>
      <w:r>
        <w:rPr>
          <w:color w:val="555555"/>
          <w:sz w:val="17"/>
        </w:rPr>
        <w:t xml:space="preserve">Zitiervorschlag: § 38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